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6"/>
          <w:szCs w:val="16"/>
        </w:rPr>
      </w:pPr>
      <w:r>
        <w:rPr>
          <w:sz w:val="16"/>
          <w:szCs w:val="16"/>
        </w:rPr>
      </w:r>
    </w:p>
    <w:p>
      <w:pPr>
        <w:pStyle w:val="Normal"/>
        <w:rPr>
          <w:sz w:val="16"/>
          <w:szCs w:val="16"/>
        </w:rPr>
      </w:pPr>
      <w:r>
        <w:rPr>
          <w:sz w:val="16"/>
          <w:szCs w:val="16"/>
        </w:rPr>
        <w:drawing>
          <wp:anchor behindDoc="1" distT="0" distB="0" distL="0" distR="0" simplePos="0" locked="0" layoutInCell="1" allowOverlap="1" relativeHeight="2">
            <wp:simplePos x="0" y="0"/>
            <wp:positionH relativeFrom="column">
              <wp:posOffset>-78105</wp:posOffset>
            </wp:positionH>
            <wp:positionV relativeFrom="page">
              <wp:posOffset>852805</wp:posOffset>
            </wp:positionV>
            <wp:extent cx="2786380" cy="38227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786380" cy="382270"/>
                    </a:xfrm>
                    <a:prstGeom prst="rect">
                      <a:avLst/>
                    </a:prstGeom>
                  </pic:spPr>
                </pic:pic>
              </a:graphicData>
            </a:graphic>
          </wp:anchor>
        </w:drawing>
      </w:r>
    </w:p>
    <w:tbl>
      <w:tblPr>
        <w:tblW w:w="3544" w:type="dxa"/>
        <w:jc w:val="left"/>
        <w:tblInd w:w="62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7" w:type="dxa"/>
          <w:bottom w:w="0" w:type="dxa"/>
          <w:right w:w="57" w:type="dxa"/>
        </w:tblCellMar>
        <w:tblLook w:firstRow="1" w:noVBand="0" w:lastRow="1" w:firstColumn="1" w:lastColumn="1" w:noHBand="0" w:val="01e0"/>
      </w:tblPr>
      <w:tblGrid>
        <w:gridCol w:w="1819"/>
        <w:gridCol w:w="1724"/>
      </w:tblGrid>
      <w:tr>
        <w:trPr>
          <w:trHeight w:val="284" w:hRule="atLeast"/>
        </w:trPr>
        <w:tc>
          <w:tcPr>
            <w:tcW w:w="1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E2F3" w:themeFill="accent1" w:themeFillTint="33" w:val="clear"/>
            <w:vAlign w:val="center"/>
          </w:tcPr>
          <w:p>
            <w:pPr>
              <w:pStyle w:val="Heading2"/>
              <w:spacing w:before="120" w:after="120"/>
              <w:ind w:left="57" w:right="57" w:hanging="0"/>
              <w:jc w:val="right"/>
              <w:rPr>
                <w:b/>
                <w:b/>
                <w:bCs/>
                <w:sz w:val="16"/>
                <w:szCs w:val="16"/>
                <w:lang w:val="et-EE"/>
              </w:rPr>
            </w:pPr>
            <w:r>
              <w:rPr>
                <w:b/>
                <w:bCs/>
                <w:sz w:val="20"/>
                <w:lang w:val="et-EE"/>
              </w:rPr>
              <w:t>Lepingu number</w:t>
            </w:r>
          </w:p>
        </w:tc>
        <w:tc>
          <w:tcPr>
            <w:tcW w:w="1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120" w:after="120"/>
              <w:ind w:left="57" w:right="57" w:hanging="0"/>
              <w:rPr>
                <w:b/>
                <w:b/>
              </w:rPr>
            </w:pPr>
            <w:r>
              <w:rPr>
                <w:b/>
              </w:rPr>
              <w:t>AHE20</w:t>
            </w:r>
          </w:p>
        </w:tc>
      </w:tr>
    </w:tbl>
    <w:p>
      <w:pPr>
        <w:pStyle w:val="Heading2"/>
        <w:jc w:val="right"/>
        <w:rPr>
          <w:bCs/>
          <w:sz w:val="16"/>
          <w:szCs w:val="16"/>
          <w:lang w:val="et-EE"/>
        </w:rPr>
      </w:pPr>
      <w:r>
        <w:rPr>
          <w:bCs/>
          <w:sz w:val="16"/>
          <w:szCs w:val="16"/>
          <w:lang w:val="et-EE"/>
        </w:rPr>
      </w:r>
    </w:p>
    <w:p>
      <w:pPr>
        <w:pStyle w:val="Normal"/>
        <w:rPr/>
      </w:pPr>
      <w:r>
        <w:rPr/>
      </w:r>
    </w:p>
    <w:p>
      <w:pPr>
        <w:pStyle w:val="Heading2"/>
        <w:jc w:val="right"/>
        <w:rPr>
          <w:bCs/>
          <w:sz w:val="16"/>
          <w:szCs w:val="16"/>
          <w:lang w:val="et-EE"/>
        </w:rPr>
      </w:pPr>
      <w:r>
        <w:rPr>
          <w:bCs/>
          <w:sz w:val="16"/>
          <w:szCs w:val="16"/>
          <w:lang w:val="et-EE"/>
        </w:rPr>
        <w:t xml:space="preserve">   </w:t>
      </w:r>
      <w:r>
        <w:rPr>
          <w:bCs/>
          <w:sz w:val="16"/>
          <w:szCs w:val="16"/>
          <w:lang w:val="et-EE"/>
        </w:rPr>
        <w:tab/>
        <w:tab/>
      </w:r>
    </w:p>
    <w:p>
      <w:pPr>
        <w:pStyle w:val="Heading2"/>
        <w:jc w:val="center"/>
        <w:rPr>
          <w:b/>
          <w:b/>
          <w:sz w:val="24"/>
          <w:szCs w:val="24"/>
          <w:lang w:val="et-EE"/>
        </w:rPr>
      </w:pPr>
      <w:r>
        <w:rPr>
          <w:b/>
          <w:bCs/>
          <w:sz w:val="24"/>
          <w:szCs w:val="24"/>
          <w:lang w:val="et-EE"/>
        </w:rPr>
        <w:t xml:space="preserve">KÜSKi </w:t>
      </w:r>
      <w:r>
        <w:rPr>
          <w:b/>
          <w:sz w:val="24"/>
          <w:szCs w:val="24"/>
          <w:lang w:val="et-EE"/>
        </w:rPr>
        <w:t xml:space="preserve">toetatud projekti </w:t>
      </w:r>
    </w:p>
    <w:p>
      <w:pPr>
        <w:pStyle w:val="Heading2"/>
        <w:jc w:val="center"/>
        <w:rPr>
          <w:b/>
          <w:b/>
          <w:bCs/>
          <w:sz w:val="24"/>
          <w:szCs w:val="24"/>
          <w:lang w:val="et-EE"/>
        </w:rPr>
      </w:pPr>
      <w:r>
        <w:rPr>
          <w:b/>
          <w:bCs/>
          <w:sz w:val="24"/>
          <w:szCs w:val="24"/>
          <w:lang w:val="et-EE"/>
        </w:rPr>
        <w:t>SISULISE ARUANDE VORM</w:t>
      </w:r>
    </w:p>
    <w:p>
      <w:pPr>
        <w:pStyle w:val="Normal"/>
        <w:rPr/>
      </w:pPr>
      <w:r>
        <w:rPr/>
      </w:r>
    </w:p>
    <w:p>
      <w:pPr>
        <w:pStyle w:val="Normal"/>
        <w:rPr/>
      </w:pPr>
      <w:r>
        <w:rPr/>
      </w:r>
    </w:p>
    <w:tbl>
      <w:tblPr>
        <w:tblW w:w="9923" w:type="dxa"/>
        <w:jc w:val="left"/>
        <w:tblInd w:w="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0" w:type="dxa"/>
          <w:left w:w="50" w:type="dxa"/>
          <w:bottom w:w="0" w:type="dxa"/>
          <w:right w:w="57" w:type="dxa"/>
        </w:tblCellMar>
        <w:tblLook w:firstRow="0" w:noVBand="0" w:lastRow="0" w:firstColumn="0" w:lastColumn="0" w:noHBand="0" w:val="0000"/>
      </w:tblPr>
      <w:tblGrid>
        <w:gridCol w:w="1917"/>
        <w:gridCol w:w="3686"/>
        <w:gridCol w:w="1871"/>
        <w:gridCol w:w="2448"/>
      </w:tblGrid>
      <w:tr>
        <w:trPr>
          <w:trHeight w:val="567" w:hRule="atLeast"/>
        </w:trPr>
        <w:tc>
          <w:tcPr>
            <w:tcW w:w="191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57" w:hanging="0"/>
              <w:jc w:val="both"/>
              <w:rPr>
                <w:b/>
                <w:b/>
                <w:bCs/>
                <w:sz w:val="22"/>
                <w:szCs w:val="22"/>
                <w:lang w:eastAsia="et-EE"/>
              </w:rPr>
            </w:pPr>
            <w:r>
              <w:rPr>
                <w:b/>
                <w:bCs/>
                <w:sz w:val="22"/>
                <w:szCs w:val="22"/>
                <w:lang w:eastAsia="et-EE"/>
              </w:rPr>
              <w:t>Projekti nimi</w:t>
            </w:r>
          </w:p>
        </w:tc>
        <w:tc>
          <w:tcPr>
            <w:tcW w:w="8005" w:type="dxa"/>
            <w:gridSpan w:val="3"/>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jc w:val="both"/>
              <w:rPr>
                <w:bCs/>
                <w:sz w:val="24"/>
                <w:szCs w:val="24"/>
                <w:lang w:eastAsia="et-EE"/>
              </w:rPr>
            </w:pPr>
            <w:r>
              <w:rPr>
                <w:b/>
                <w:bCs/>
                <w:sz w:val="24"/>
                <w:szCs w:val="24"/>
                <w:lang w:eastAsia="et-EE"/>
              </w:rPr>
              <w:t>„</w:t>
            </w:r>
            <w:r>
              <w:rPr>
                <w:b/>
                <w:bCs/>
                <w:sz w:val="24"/>
                <w:szCs w:val="24"/>
                <w:lang w:eastAsia="et-EE"/>
              </w:rPr>
              <w:t xml:space="preserve">Sotsiaalrestoran. Arenguhüppe ettevalmistused KÜSK toetusel.“ </w:t>
            </w:r>
            <w:r>
              <w:rPr>
                <w:bCs/>
                <w:sz w:val="24"/>
                <w:szCs w:val="24"/>
                <w:lang w:eastAsia="et-EE"/>
              </w:rPr>
              <w:t xml:space="preserve">(projekt nr </w:t>
            </w:r>
            <w:r>
              <w:rPr>
                <w:b/>
                <w:bCs/>
                <w:sz w:val="24"/>
                <w:szCs w:val="24"/>
                <w:lang w:eastAsia="et-EE"/>
              </w:rPr>
              <w:t>AHE20-70</w:t>
            </w:r>
            <w:r>
              <w:rPr>
                <w:bCs/>
                <w:sz w:val="24"/>
                <w:szCs w:val="24"/>
                <w:lang w:eastAsia="et-EE"/>
              </w:rPr>
              <w:t>).</w:t>
            </w:r>
          </w:p>
        </w:tc>
      </w:tr>
      <w:tr>
        <w:trPr>
          <w:trHeight w:val="567" w:hRule="atLeast"/>
        </w:trPr>
        <w:tc>
          <w:tcPr>
            <w:tcW w:w="191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57" w:hanging="0"/>
              <w:jc w:val="both"/>
              <w:rPr>
                <w:b/>
                <w:b/>
                <w:bCs/>
                <w:strike/>
                <w:sz w:val="22"/>
                <w:szCs w:val="22"/>
                <w:lang w:eastAsia="et-EE"/>
              </w:rPr>
            </w:pPr>
            <w:r>
              <w:rPr>
                <w:b/>
                <w:bCs/>
                <w:sz w:val="22"/>
                <w:szCs w:val="22"/>
                <w:lang w:eastAsia="et-EE"/>
              </w:rPr>
              <w:t>Toetuse saaja</w:t>
            </w:r>
          </w:p>
        </w:tc>
        <w:tc>
          <w:tcPr>
            <w:tcW w:w="368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rPr>
                <w:bCs/>
                <w:sz w:val="22"/>
                <w:szCs w:val="22"/>
                <w:lang w:val="en-US" w:eastAsia="et-EE"/>
              </w:rPr>
            </w:pPr>
            <w:r>
              <w:rPr>
                <w:bCs/>
                <w:sz w:val="22"/>
                <w:szCs w:val="22"/>
                <w:lang w:val="en-US" w:eastAsia="et-EE"/>
              </w:rPr>
              <w:t>MTÜ EELK Tallinna Jaani kogudus</w:t>
            </w:r>
          </w:p>
        </w:tc>
        <w:tc>
          <w:tcPr>
            <w:tcW w:w="18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152" w:hanging="0"/>
              <w:jc w:val="both"/>
              <w:rPr>
                <w:b/>
                <w:b/>
                <w:bCs/>
                <w:sz w:val="22"/>
                <w:szCs w:val="22"/>
                <w:lang w:eastAsia="et-EE"/>
              </w:rPr>
            </w:pPr>
            <w:r>
              <w:rPr>
                <w:b/>
                <w:bCs/>
                <w:sz w:val="22"/>
                <w:szCs w:val="22"/>
                <w:lang w:eastAsia="et-EE"/>
              </w:rPr>
              <w:t>Projekti periood</w:t>
            </w:r>
          </w:p>
        </w:tc>
        <w:tc>
          <w:tcPr>
            <w:tcW w:w="2448"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jc w:val="center"/>
              <w:rPr>
                <w:bCs/>
                <w:sz w:val="24"/>
                <w:szCs w:val="24"/>
                <w:lang w:eastAsia="et-EE"/>
              </w:rPr>
            </w:pPr>
            <w:r>
              <w:rPr>
                <w:bCs/>
                <w:sz w:val="24"/>
                <w:szCs w:val="24"/>
                <w:lang w:val="en-US" w:eastAsia="et-EE"/>
              </w:rPr>
              <w:t>01.04.20</w:t>
            </w:r>
            <w:r>
              <w:rPr>
                <w:bCs/>
                <w:sz w:val="24"/>
                <w:szCs w:val="24"/>
                <w:lang w:eastAsia="et-EE"/>
              </w:rPr>
              <w:t xml:space="preserve"> – </w:t>
            </w:r>
            <w:r>
              <w:rPr>
                <w:bCs/>
                <w:sz w:val="24"/>
                <w:szCs w:val="24"/>
                <w:lang w:val="en-US" w:eastAsia="et-EE"/>
              </w:rPr>
              <w:t>31.08.20</w:t>
            </w:r>
          </w:p>
        </w:tc>
      </w:tr>
      <w:tr>
        <w:trPr>
          <w:trHeight w:val="567" w:hRule="atLeast"/>
        </w:trPr>
        <w:tc>
          <w:tcPr>
            <w:tcW w:w="191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57" w:hanging="0"/>
              <w:rPr>
                <w:b/>
                <w:b/>
                <w:bCs/>
                <w:sz w:val="22"/>
                <w:szCs w:val="22"/>
                <w:lang w:eastAsia="et-EE"/>
              </w:rPr>
            </w:pPr>
            <w:r>
              <w:rPr>
                <w:b/>
                <w:bCs/>
                <w:sz w:val="22"/>
                <w:szCs w:val="22"/>
                <w:lang w:eastAsia="et-EE"/>
              </w:rPr>
              <w:t>Veebilehekülg</w:t>
            </w:r>
          </w:p>
        </w:tc>
        <w:tc>
          <w:tcPr>
            <w:tcW w:w="368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rPr>
                <w:sz w:val="22"/>
                <w:szCs w:val="22"/>
                <w:lang w:val="en-US" w:eastAsia="et-EE"/>
              </w:rPr>
            </w:pPr>
            <w:r>
              <w:rPr>
                <w:sz w:val="22"/>
                <w:szCs w:val="22"/>
                <w:lang w:val="en-US" w:eastAsia="et-EE"/>
              </w:rPr>
              <w:t>www.tallinnajaani.ee</w:t>
            </w:r>
          </w:p>
        </w:tc>
        <w:tc>
          <w:tcPr>
            <w:tcW w:w="18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152" w:hanging="0"/>
              <w:jc w:val="both"/>
              <w:rPr>
                <w:b/>
                <w:b/>
                <w:bCs/>
                <w:sz w:val="22"/>
                <w:szCs w:val="22"/>
                <w:lang w:eastAsia="et-EE"/>
              </w:rPr>
            </w:pPr>
            <w:r>
              <w:rPr>
                <w:b/>
                <w:bCs/>
                <w:sz w:val="22"/>
                <w:szCs w:val="22"/>
                <w:lang w:eastAsia="et-EE"/>
              </w:rPr>
              <w:t>Reg-kood</w:t>
            </w:r>
          </w:p>
        </w:tc>
        <w:tc>
          <w:tcPr>
            <w:tcW w:w="2448"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jc w:val="center"/>
              <w:rPr>
                <w:sz w:val="22"/>
                <w:szCs w:val="22"/>
                <w:lang w:eastAsia="et-EE"/>
              </w:rPr>
            </w:pPr>
            <w:r>
              <w:rPr>
                <w:color w:val="000000"/>
                <w:sz w:val="24"/>
                <w:szCs w:val="24"/>
                <w:lang w:eastAsia="et-EE"/>
              </w:rPr>
              <w:t>80211062</w:t>
            </w:r>
          </w:p>
        </w:tc>
      </w:tr>
      <w:tr>
        <w:trPr>
          <w:trHeight w:val="567" w:hRule="atLeast"/>
        </w:trPr>
        <w:tc>
          <w:tcPr>
            <w:tcW w:w="191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EEAF6" w:themeFill="accent5" w:themeFillTint="33" w:val="clear"/>
            <w:vAlign w:val="center"/>
          </w:tcPr>
          <w:p>
            <w:pPr>
              <w:pStyle w:val="Normal"/>
              <w:ind w:left="57" w:hanging="0"/>
              <w:jc w:val="both"/>
              <w:rPr>
                <w:b/>
                <w:b/>
                <w:bCs/>
                <w:sz w:val="22"/>
                <w:szCs w:val="22"/>
                <w:lang w:eastAsia="et-EE"/>
              </w:rPr>
            </w:pPr>
            <w:r>
              <w:rPr>
                <w:b/>
                <w:bCs/>
                <w:sz w:val="22"/>
                <w:szCs w:val="22"/>
                <w:lang w:eastAsia="et-EE"/>
              </w:rPr>
              <w:t>Projektijuhi nimi</w:t>
            </w:r>
          </w:p>
        </w:tc>
        <w:tc>
          <w:tcPr>
            <w:tcW w:w="368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rPr>
                <w:sz w:val="22"/>
                <w:szCs w:val="22"/>
                <w:lang w:val="en-US" w:eastAsia="et-EE"/>
              </w:rPr>
            </w:pPr>
            <w:r>
              <w:rPr>
                <w:sz w:val="22"/>
                <w:szCs w:val="22"/>
                <w:lang w:val="en-US" w:eastAsia="et-EE"/>
              </w:rPr>
              <w:t>Annely Neame</w:t>
            </w:r>
          </w:p>
        </w:tc>
        <w:tc>
          <w:tcPr>
            <w:tcW w:w="18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152" w:hanging="0"/>
              <w:jc w:val="both"/>
              <w:rPr>
                <w:b/>
                <w:b/>
                <w:bCs/>
                <w:sz w:val="22"/>
                <w:szCs w:val="22"/>
                <w:lang w:eastAsia="et-EE"/>
              </w:rPr>
            </w:pPr>
            <w:r>
              <w:rPr>
                <w:b/>
                <w:bCs/>
                <w:sz w:val="22"/>
                <w:szCs w:val="22"/>
                <w:lang w:eastAsia="et-EE"/>
              </w:rPr>
              <w:t>E-kiri</w:t>
            </w:r>
          </w:p>
        </w:tc>
        <w:tc>
          <w:tcPr>
            <w:tcW w:w="2448"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rPr>
                <w:sz w:val="22"/>
                <w:szCs w:val="22"/>
                <w:lang w:val="en-US" w:eastAsia="et-EE"/>
              </w:rPr>
            </w:pPr>
            <w:r>
              <w:rPr>
                <w:sz w:val="22"/>
                <w:szCs w:val="22"/>
                <w:lang w:val="en-US" w:eastAsia="et-EE"/>
              </w:rPr>
              <w:t>Annely.neame@eelk.ee</w:t>
            </w:r>
          </w:p>
        </w:tc>
      </w:tr>
      <w:tr>
        <w:trPr>
          <w:trHeight w:val="567" w:hRule="atLeast"/>
        </w:trPr>
        <w:tc>
          <w:tcPr>
            <w:tcW w:w="191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EEAF6" w:themeFill="accent5" w:themeFillTint="33" w:val="clear"/>
            <w:vAlign w:val="center"/>
          </w:tcPr>
          <w:p>
            <w:pPr>
              <w:pStyle w:val="Normal"/>
              <w:ind w:left="57" w:hanging="0"/>
              <w:jc w:val="both"/>
              <w:rPr>
                <w:b/>
                <w:b/>
                <w:bCs/>
                <w:sz w:val="22"/>
                <w:szCs w:val="22"/>
                <w:lang w:eastAsia="et-EE"/>
              </w:rPr>
            </w:pPr>
            <w:r>
              <w:rPr>
                <w:b/>
                <w:bCs/>
                <w:sz w:val="22"/>
                <w:szCs w:val="22"/>
                <w:lang w:eastAsia="et-EE"/>
              </w:rPr>
              <w:t>Telefoni number</w:t>
            </w:r>
          </w:p>
        </w:tc>
        <w:tc>
          <w:tcPr>
            <w:tcW w:w="368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rPr>
                <w:bCs/>
                <w:sz w:val="22"/>
                <w:szCs w:val="22"/>
                <w:lang w:val="en-US" w:eastAsia="et-EE"/>
              </w:rPr>
            </w:pPr>
            <w:r>
              <w:rPr>
                <w:bCs/>
                <w:sz w:val="22"/>
                <w:szCs w:val="22"/>
                <w:lang w:val="en-US" w:eastAsia="et-EE"/>
              </w:rPr>
              <w:t>+3725267825</w:t>
            </w:r>
          </w:p>
        </w:tc>
        <w:tc>
          <w:tcPr>
            <w:tcW w:w="18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EEAF6" w:themeFill="accent5" w:themeFillTint="33" w:val="clear"/>
            <w:vAlign w:val="center"/>
          </w:tcPr>
          <w:p>
            <w:pPr>
              <w:pStyle w:val="Normal"/>
              <w:ind w:left="152" w:hanging="0"/>
              <w:jc w:val="both"/>
              <w:rPr>
                <w:b/>
                <w:b/>
                <w:sz w:val="22"/>
                <w:szCs w:val="22"/>
                <w:lang w:eastAsia="et-EE"/>
              </w:rPr>
            </w:pPr>
            <w:r>
              <w:rPr>
                <w:b/>
                <w:sz w:val="22"/>
                <w:szCs w:val="22"/>
                <w:lang w:eastAsia="et-EE"/>
              </w:rPr>
              <w:t>Ühingu e-kiri</w:t>
            </w:r>
          </w:p>
        </w:tc>
        <w:tc>
          <w:tcPr>
            <w:tcW w:w="2448"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spacing w:before="120" w:after="120"/>
              <w:ind w:left="57" w:right="57" w:hanging="0"/>
              <w:jc w:val="center"/>
              <w:rPr>
                <w:color w:val="000000"/>
                <w:sz w:val="24"/>
                <w:szCs w:val="24"/>
                <w:lang w:eastAsia="et-EE"/>
              </w:rPr>
            </w:pPr>
            <w:r>
              <w:rPr>
                <w:color w:val="000000"/>
                <w:sz w:val="24"/>
                <w:szCs w:val="24"/>
                <w:lang w:eastAsia="et-EE"/>
              </w:rPr>
              <w:t>Tallinna.jaani@eelk.ee</w:t>
            </w:r>
          </w:p>
        </w:tc>
      </w:tr>
    </w:tbl>
    <w:p>
      <w:pPr>
        <w:pStyle w:val="Normal"/>
        <w:rPr>
          <w:b/>
          <w:b/>
          <w:bCs/>
          <w:sz w:val="22"/>
          <w:szCs w:val="22"/>
        </w:rPr>
      </w:pPr>
      <w:r>
        <w:rPr>
          <w:b/>
          <w:bCs/>
          <w:sz w:val="22"/>
          <w:szCs w:val="22"/>
        </w:rPr>
      </w:r>
    </w:p>
    <w:p>
      <w:pPr>
        <w:pStyle w:val="Normal"/>
        <w:jc w:val="center"/>
        <w:rPr>
          <w:bCs/>
          <w:i/>
          <w:i/>
          <w:color w:val="FF0000"/>
          <w:sz w:val="22"/>
          <w:szCs w:val="22"/>
        </w:rPr>
      </w:pPr>
      <w:r>
        <w:rPr>
          <w:bCs/>
          <w:i/>
          <w:color w:val="FF0000"/>
          <w:sz w:val="22"/>
          <w:szCs w:val="22"/>
        </w:rPr>
        <w:t xml:space="preserve">Aruandele tuleb </w:t>
      </w:r>
      <w:r>
        <w:rPr>
          <w:b/>
          <w:bCs/>
          <w:i/>
          <w:color w:val="FF0000"/>
          <w:sz w:val="22"/>
          <w:szCs w:val="22"/>
        </w:rPr>
        <w:t>samas digiümbrikus</w:t>
      </w:r>
      <w:r>
        <w:rPr>
          <w:bCs/>
          <w:i/>
          <w:color w:val="FF0000"/>
          <w:sz w:val="22"/>
          <w:szCs w:val="22"/>
        </w:rPr>
        <w:t xml:space="preserve"> lisada ka projekti jooksul valminud väljund – äriplaan, tegevuskava arenguhüppeks või arenguprogramm sihtrühma kuuluvate vabaühenduste arendamiseks.</w:t>
      </w:r>
    </w:p>
    <w:p>
      <w:pPr>
        <w:pStyle w:val="Normal"/>
        <w:jc w:val="center"/>
        <w:rPr>
          <w:bCs/>
          <w:i/>
          <w:i/>
          <w:color w:val="FF0000"/>
          <w:sz w:val="22"/>
          <w:szCs w:val="22"/>
        </w:rPr>
      </w:pPr>
      <w:r>
        <w:rPr>
          <w:bCs/>
          <w:i/>
          <w:color w:val="FF0000"/>
          <w:sz w:val="22"/>
          <w:szCs w:val="22"/>
        </w:rPr>
      </w:r>
    </w:p>
    <w:p>
      <w:pPr>
        <w:pStyle w:val="Normal"/>
        <w:rPr>
          <w:b/>
          <w:b/>
          <w:bCs/>
          <w:sz w:val="22"/>
          <w:szCs w:val="22"/>
        </w:rPr>
      </w:pPr>
      <w:r>
        <w:rPr>
          <w:b/>
          <w:bCs/>
          <w:sz w:val="22"/>
          <w:szCs w:val="22"/>
        </w:rPr>
      </w:r>
    </w:p>
    <w:tbl>
      <w:tblPr>
        <w:tblW w:w="991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7" w:type="dxa"/>
        </w:tblCellMar>
        <w:tblLook w:firstRow="0" w:noVBand="0" w:lastRow="0" w:firstColumn="0" w:lastColumn="0" w:noHBand="0" w:val="0000"/>
      </w:tblPr>
      <w:tblGrid>
        <w:gridCol w:w="9918"/>
      </w:tblGrid>
      <w:tr>
        <w:trPr>
          <w:trHeight w:val="351" w:hRule="atLeast"/>
        </w:trPr>
        <w:tc>
          <w:tcPr>
            <w:tcW w:w="9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right="57" w:hanging="0"/>
              <w:rPr>
                <w:sz w:val="22"/>
                <w:szCs w:val="22"/>
              </w:rPr>
            </w:pPr>
            <w:r>
              <w:rPr>
                <w:b/>
                <w:sz w:val="22"/>
                <w:szCs w:val="22"/>
              </w:rPr>
              <w:t xml:space="preserve">I Kirjeldage lühidalt projekti jooksul saavutatud tulemust </w:t>
            </w:r>
          </w:p>
        </w:tc>
      </w:tr>
      <w:tr>
        <w:trPr>
          <w:trHeight w:val="1134" w:hRule="atLeast"/>
        </w:trPr>
        <w:tc>
          <w:tcPr>
            <w:tcW w:w="9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57" w:right="57" w:hanging="0"/>
              <w:jc w:val="both"/>
              <w:rPr/>
            </w:pPr>
            <w:r>
              <w:rPr>
                <w:sz w:val="22"/>
                <w:szCs w:val="22"/>
                <w:lang w:val="en-US"/>
              </w:rPr>
              <w:t xml:space="preserve">Projekti tulemusel valmis tegevuskava arenguhüppeks, </w:t>
            </w:r>
            <w:r>
              <w:rPr>
                <w:sz w:val="22"/>
                <w:szCs w:val="22"/>
                <w:lang w:val="en-US"/>
              </w:rPr>
              <w:t>ja esitatakse taotlus AH20 vooru.</w:t>
            </w:r>
          </w:p>
          <w:p>
            <w:pPr>
              <w:pStyle w:val="Normal"/>
              <w:ind w:left="57" w:right="57" w:hanging="0"/>
              <w:jc w:val="both"/>
              <w:rPr/>
            </w:pPr>
            <w:r>
              <w:rPr>
                <w:sz w:val="22"/>
                <w:szCs w:val="22"/>
                <w:lang w:val="en-US"/>
              </w:rPr>
              <w:t xml:space="preserve">Arenguhüppe sisu: </w:t>
            </w:r>
            <w:r>
              <w:rPr>
                <w:sz w:val="22"/>
                <w:szCs w:val="22"/>
                <w:lang w:val="en-US"/>
              </w:rPr>
              <w:t>Sotsiaalrestorani käivitamine ja tööprotsesside katsetamine</w:t>
            </w:r>
          </w:p>
          <w:p>
            <w:pPr>
              <w:pStyle w:val="Normal"/>
              <w:numPr>
                <w:ilvl w:val="0"/>
                <w:numId w:val="2"/>
              </w:numPr>
              <w:jc w:val="both"/>
              <w:rPr/>
            </w:pPr>
            <w:r>
              <w:rPr>
                <w:sz w:val="22"/>
                <w:szCs w:val="22"/>
                <w:lang w:val="en-US"/>
              </w:rPr>
              <w:t xml:space="preserve">Selle arenguhüppega luuakse Tallinna Jaani koguduse poolt </w:t>
            </w:r>
            <w:r>
              <w:rPr>
                <w:sz w:val="22"/>
                <w:szCs w:val="22"/>
                <w:lang w:val="en-US"/>
              </w:rPr>
              <w:t xml:space="preserve">uus </w:t>
            </w:r>
            <w:r>
              <w:rPr>
                <w:sz w:val="22"/>
                <w:szCs w:val="22"/>
                <w:lang w:val="en-US"/>
              </w:rPr>
              <w:t>töövorm (Sotsiaalrestoran).</w:t>
            </w:r>
          </w:p>
          <w:p>
            <w:pPr>
              <w:pStyle w:val="Normal"/>
              <w:numPr>
                <w:ilvl w:val="0"/>
                <w:numId w:val="2"/>
              </w:numPr>
              <w:jc w:val="both"/>
              <w:rPr/>
            </w:pPr>
            <w:r>
              <w:rPr>
                <w:sz w:val="22"/>
                <w:szCs w:val="22"/>
                <w:lang w:val="en-US"/>
              </w:rPr>
              <w:t xml:space="preserve">Sotsiaalrestorani kaudu pakutakse praktiline lahendus varjatud vaesuse leevendamiseks kogukonnas (mis on levinud nii füüsilise kui vaimse puuduse näol). </w:t>
            </w:r>
          </w:p>
          <w:p>
            <w:pPr>
              <w:pStyle w:val="Normal"/>
              <w:numPr>
                <w:ilvl w:val="0"/>
                <w:numId w:val="2"/>
              </w:numPr>
              <w:jc w:val="both"/>
              <w:rPr/>
            </w:pPr>
            <w:r>
              <w:rPr>
                <w:sz w:val="22"/>
                <w:szCs w:val="22"/>
                <w:lang w:val="en-US"/>
              </w:rPr>
              <w:t>Kogutakse kokku Sotsiaalrestorani meeskond:  sotsiaalselt ja keskkonnaalaselt tundlikud ja teadlikud noored ja nende mentorid</w:t>
            </w:r>
            <w:r>
              <w:rPr>
                <w:i/>
                <w:iCs/>
                <w:sz w:val="22"/>
                <w:szCs w:val="22"/>
                <w:lang w:val="en-US"/>
              </w:rPr>
              <w:t xml:space="preserve">. </w:t>
            </w:r>
          </w:p>
          <w:p>
            <w:pPr>
              <w:pStyle w:val="Normal"/>
              <w:numPr>
                <w:ilvl w:val="0"/>
                <w:numId w:val="2"/>
              </w:numPr>
              <w:jc w:val="both"/>
              <w:rPr/>
            </w:pPr>
            <w:r>
              <w:rPr>
                <w:i w:val="false"/>
                <w:iCs w:val="false"/>
                <w:sz w:val="22"/>
                <w:szCs w:val="22"/>
                <w:lang w:val="en-US"/>
              </w:rPr>
              <w:t>Sotsiaalrestorani asukohaks valitakse/</w:t>
            </w:r>
            <w:r>
              <w:rPr>
                <w:i w:val="false"/>
                <w:iCs w:val="false"/>
                <w:sz w:val="22"/>
                <w:szCs w:val="22"/>
                <w:lang w:val="en-US"/>
              </w:rPr>
              <w:t>luuakse</w:t>
            </w:r>
            <w:r>
              <w:rPr>
                <w:i w:val="false"/>
                <w:iCs w:val="false"/>
                <w:sz w:val="22"/>
                <w:szCs w:val="22"/>
                <w:lang w:val="en-US"/>
              </w:rPr>
              <w:t xml:space="preserve"> kesklinna esteetiline, avar, valgusküllane ja turvaline keskkond.</w:t>
            </w:r>
          </w:p>
          <w:p>
            <w:pPr>
              <w:pStyle w:val="Normal"/>
              <w:numPr>
                <w:ilvl w:val="0"/>
                <w:numId w:val="2"/>
              </w:numPr>
              <w:jc w:val="both"/>
              <w:rPr/>
            </w:pPr>
            <w:r>
              <w:rPr>
                <w:sz w:val="22"/>
                <w:szCs w:val="22"/>
                <w:lang w:val="en-US"/>
              </w:rPr>
              <w:t xml:space="preserve">Sotsiaalrestoranis valmistatakse (võimalusel kohalikust toorainest) odavalt tervislikku ja maitsvat toitu. </w:t>
            </w:r>
          </w:p>
          <w:p>
            <w:pPr>
              <w:pStyle w:val="Normal"/>
              <w:numPr>
                <w:ilvl w:val="0"/>
                <w:numId w:val="2"/>
              </w:numPr>
              <w:jc w:val="both"/>
              <w:rPr>
                <w:i w:val="false"/>
                <w:i w:val="false"/>
                <w:iCs w:val="false"/>
              </w:rPr>
            </w:pPr>
            <w:r>
              <w:rPr>
                <w:i w:val="false"/>
                <w:iCs w:val="false"/>
                <w:sz w:val="22"/>
                <w:szCs w:val="22"/>
                <w:lang w:val="en-US"/>
              </w:rPr>
              <w:t>Noored  ja nende mentorid töötavad Sotsiaalrestoranis vabatahtlikuse alusel. Noored teenivad vabatahtliku tööga nn surrogaatraha, millega saavad tasuda toidu eest Sotsiaalrerstoranis. Surrogaatraha saab ka edasi anda.</w:t>
            </w:r>
          </w:p>
          <w:p>
            <w:pPr>
              <w:pStyle w:val="Normal"/>
              <w:numPr>
                <w:ilvl w:val="0"/>
                <w:numId w:val="2"/>
              </w:numPr>
              <w:jc w:val="both"/>
              <w:rPr/>
            </w:pPr>
            <w:r>
              <w:rPr>
                <w:i w:val="false"/>
                <w:iCs w:val="false"/>
                <w:sz w:val="22"/>
                <w:szCs w:val="22"/>
                <w:lang w:val="en-US"/>
              </w:rPr>
              <w:t xml:space="preserve">Sööma kutsutakse </w:t>
            </w:r>
            <w:r>
              <w:rPr>
                <w:i w:val="false"/>
                <w:iCs w:val="false"/>
                <w:sz w:val="22"/>
                <w:szCs w:val="22"/>
                <w:lang w:val="en-US"/>
              </w:rPr>
              <w:t>neid</w:t>
            </w:r>
            <w:r>
              <w:rPr>
                <w:i w:val="false"/>
                <w:iCs w:val="false"/>
                <w:sz w:val="22"/>
                <w:szCs w:val="22"/>
                <w:lang w:val="en-US"/>
              </w:rPr>
              <w:t xml:space="preserve">, kes hindavad taskukohase hinna eest söömist meeldivas kogukondlikus söögikohas </w:t>
            </w:r>
            <w:r>
              <w:rPr>
                <w:i w:val="false"/>
                <w:iCs w:val="false"/>
                <w:sz w:val="22"/>
                <w:szCs w:val="22"/>
                <w:lang w:val="en-US"/>
              </w:rPr>
              <w:t>ja keda huvitab kogukondliku sidususe loomine ja keskkonnahoid, kes samuti on valmis võtma sotsiaalset vastutust ühiskonnas.</w:t>
            </w:r>
          </w:p>
          <w:p>
            <w:pPr>
              <w:pStyle w:val="Normal"/>
              <w:numPr>
                <w:ilvl w:val="0"/>
                <w:numId w:val="2"/>
              </w:numPr>
              <w:jc w:val="both"/>
              <w:rPr/>
            </w:pPr>
            <w:r>
              <w:rPr>
                <w:i w:val="false"/>
                <w:iCs w:val="false"/>
                <w:sz w:val="22"/>
                <w:szCs w:val="22"/>
                <w:lang w:val="en-US"/>
              </w:rPr>
              <w:t>Sööma tulijatel on võimalus panustada Sotsiaalrestorani arendamisse seal vabatahlikuna kaasa töötades ning kogukonnaga liitudes.</w:t>
            </w:r>
          </w:p>
          <w:p>
            <w:pPr>
              <w:pStyle w:val="Normal"/>
              <w:numPr>
                <w:ilvl w:val="0"/>
                <w:numId w:val="2"/>
              </w:numPr>
              <w:jc w:val="both"/>
              <w:rPr/>
            </w:pPr>
            <w:r>
              <w:rPr>
                <w:i w:val="false"/>
                <w:iCs w:val="false"/>
                <w:sz w:val="22"/>
                <w:szCs w:val="22"/>
                <w:lang w:val="en-US"/>
              </w:rPr>
              <w:t xml:space="preserve">Neil, kel võimalik saavad, tasuda ka puuduses olevate inimeste toidu eest </w:t>
            </w:r>
            <w:r>
              <w:rPr>
                <w:i w:val="false"/>
                <w:iCs w:val="false"/>
                <w:sz w:val="22"/>
                <w:szCs w:val="22"/>
                <w:lang w:val="en-US"/>
              </w:rPr>
              <w:t>nõnda aidata omakorda kehvemal järjel olijaid.</w:t>
            </w:r>
          </w:p>
          <w:p>
            <w:pPr>
              <w:pStyle w:val="Normal"/>
              <w:jc w:val="both"/>
              <w:rPr/>
            </w:pPr>
            <w:r>
              <w:rPr>
                <w:b/>
                <w:bCs/>
                <w:i w:val="false"/>
                <w:iCs w:val="false"/>
                <w:sz w:val="22"/>
                <w:szCs w:val="22"/>
                <w:lang w:val="en-US"/>
              </w:rPr>
              <w:t xml:space="preserve">Kokkuvõtvalt: kavandatava </w:t>
            </w:r>
            <w:r>
              <w:rPr>
                <w:b/>
                <w:bCs/>
                <w:i w:val="false"/>
                <w:iCs w:val="false"/>
                <w:sz w:val="22"/>
                <w:szCs w:val="22"/>
                <w:lang w:val="en-US"/>
              </w:rPr>
              <w:t xml:space="preserve">arenguhüppe </w:t>
            </w:r>
            <w:r>
              <w:rPr>
                <w:b/>
                <w:bCs/>
                <w:i w:val="false"/>
                <w:iCs w:val="false"/>
                <w:sz w:val="22"/>
                <w:szCs w:val="22"/>
                <w:lang w:val="en-US"/>
              </w:rPr>
              <w:t xml:space="preserve">olulisus </w:t>
            </w:r>
            <w:r>
              <w:rPr>
                <w:b/>
                <w:bCs/>
                <w:i w:val="false"/>
                <w:iCs w:val="false"/>
                <w:sz w:val="22"/>
                <w:szCs w:val="22"/>
                <w:lang w:val="en-US"/>
              </w:rPr>
              <w:t xml:space="preserve">Jaani koguduse </w:t>
            </w:r>
            <w:r>
              <w:rPr>
                <w:b/>
                <w:bCs/>
                <w:i w:val="false"/>
                <w:iCs w:val="false"/>
                <w:sz w:val="22"/>
                <w:szCs w:val="22"/>
                <w:lang w:val="en-US"/>
              </w:rPr>
              <w:t>jaoks</w:t>
            </w:r>
            <w:r>
              <w:rPr>
                <w:b/>
                <w:bCs/>
                <w:i w:val="false"/>
                <w:iCs w:val="false"/>
                <w:sz w:val="22"/>
                <w:szCs w:val="22"/>
                <w:lang w:val="en-US"/>
              </w:rPr>
              <w:t xml:space="preserve"> : kogudus saab väljundi ühiskonda, koguduse inimesed saavad kogukonda praktiliselt aidata ja kogukonna sidusust suurendada. </w:t>
            </w:r>
            <w:r>
              <w:rPr>
                <w:b/>
                <w:bCs/>
                <w:i w:val="false"/>
                <w:iCs w:val="false"/>
                <w:sz w:val="22"/>
                <w:szCs w:val="22"/>
                <w:lang w:val="en-US"/>
              </w:rPr>
              <w:t>Selle läbipaistvaks korralduseks luuakse vastavad tingimused (uus MTÜ).</w:t>
            </w:r>
          </w:p>
        </w:tc>
      </w:tr>
    </w:tbl>
    <w:p>
      <w:pPr>
        <w:pStyle w:val="Normal"/>
        <w:rPr>
          <w:sz w:val="22"/>
          <w:szCs w:val="22"/>
        </w:rPr>
      </w:pPr>
      <w:r>
        <w:rPr>
          <w:sz w:val="22"/>
          <w:szCs w:val="22"/>
        </w:rPr>
      </w:r>
    </w:p>
    <w:tbl>
      <w:tblPr>
        <w:tblW w:w="9922" w:type="dxa"/>
        <w:jc w:val="left"/>
        <w:tblInd w:w="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0" w:type="dxa"/>
          <w:left w:w="50" w:type="dxa"/>
          <w:bottom w:w="0" w:type="dxa"/>
          <w:right w:w="57" w:type="dxa"/>
        </w:tblCellMar>
        <w:tblLook w:firstRow="0" w:noVBand="0" w:lastRow="0" w:firstColumn="0" w:lastColumn="0" w:noHBand="0" w:val="0000"/>
      </w:tblPr>
      <w:tblGrid>
        <w:gridCol w:w="1015"/>
        <w:gridCol w:w="8906"/>
      </w:tblGrid>
      <w:tr>
        <w:trPr>
          <w:trHeight w:val="284" w:hRule="atLeast"/>
        </w:trPr>
        <w:tc>
          <w:tcPr>
            <w:tcW w:w="9921" w:type="dxa"/>
            <w:gridSpan w:val="2"/>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ListParagraph"/>
              <w:numPr>
                <w:ilvl w:val="0"/>
                <w:numId w:val="1"/>
              </w:numPr>
              <w:ind w:left="367" w:hanging="0"/>
              <w:rPr>
                <w:rFonts w:ascii="Times New Roman" w:hAnsi="Times New Roman"/>
                <w:b/>
                <w:b/>
                <w:lang w:val="et-EE" w:eastAsia="et-EE"/>
              </w:rPr>
            </w:pPr>
            <w:r>
              <w:rPr>
                <w:rFonts w:ascii="Times New Roman" w:hAnsi="Times New Roman"/>
                <w:b/>
                <w:lang w:val="et-EE" w:eastAsia="et-EE"/>
              </w:rPr>
              <w:t>Toimunud tegevuste kirjeldus vastavalt projekti tegevus- ja ajakavale</w:t>
            </w:r>
          </w:p>
        </w:tc>
      </w:tr>
      <w:tr>
        <w:trPr>
          <w:trHeight w:val="284" w:hRule="atLeast"/>
        </w:trPr>
        <w:tc>
          <w:tcPr>
            <w:tcW w:w="1015"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222" w:hanging="0"/>
              <w:rPr>
                <w:b/>
                <w:b/>
                <w:bCs/>
                <w:sz w:val="22"/>
                <w:szCs w:val="22"/>
                <w:lang w:eastAsia="et-EE"/>
              </w:rPr>
            </w:pPr>
            <w:r>
              <w:rPr>
                <w:b/>
                <w:bCs/>
                <w:sz w:val="22"/>
                <w:szCs w:val="22"/>
                <w:lang w:eastAsia="et-EE"/>
              </w:rPr>
              <w:t xml:space="preserve">Toimumise aeg </w:t>
            </w:r>
          </w:p>
        </w:tc>
        <w:tc>
          <w:tcPr>
            <w:tcW w:w="890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vAlign w:val="center"/>
          </w:tcPr>
          <w:p>
            <w:pPr>
              <w:pStyle w:val="Normal"/>
              <w:ind w:left="155" w:hanging="13"/>
              <w:jc w:val="center"/>
              <w:rPr>
                <w:b/>
                <w:b/>
                <w:bCs/>
                <w:sz w:val="22"/>
                <w:szCs w:val="22"/>
                <w:lang w:eastAsia="et-EE"/>
              </w:rPr>
            </w:pPr>
            <w:r>
              <w:rPr>
                <w:b/>
                <w:bCs/>
                <w:sz w:val="22"/>
                <w:szCs w:val="22"/>
                <w:lang w:eastAsia="et-EE"/>
              </w:rPr>
              <w:t xml:space="preserve">Tegevus ning selle sisu kirjeldus </w:t>
            </w:r>
          </w:p>
          <w:p>
            <w:pPr>
              <w:pStyle w:val="Normal"/>
              <w:ind w:left="155" w:hanging="13"/>
              <w:jc w:val="center"/>
              <w:rPr/>
            </w:pPr>
            <w:r>
              <w:rPr>
                <w:bCs/>
                <w:lang w:eastAsia="et-EE"/>
              </w:rPr>
              <w:t>(lühidalt mis, kus ja kellele toimus ning mida tegevusega saavutati. )</w:t>
            </w:r>
          </w:p>
        </w:tc>
      </w:tr>
      <w:tr>
        <w:trPr>
          <w:trHeight w:val="71" w:hRule="atLeast"/>
        </w:trPr>
        <w:tc>
          <w:tcPr>
            <w:tcW w:w="1015"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sz w:val="22"/>
                <w:szCs w:val="22"/>
                <w:lang w:val="en-US" w:eastAsia="et-EE"/>
              </w:rPr>
            </w:pPr>
            <w:r>
              <w:rPr>
                <w:sz w:val="22"/>
                <w:szCs w:val="22"/>
                <w:lang w:val="en-US" w:eastAsia="et-EE"/>
              </w:rPr>
              <w:t>Mai-juuli</w:t>
            </w:r>
          </w:p>
        </w:tc>
        <w:tc>
          <w:tcPr>
            <w:tcW w:w="890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sz w:val="22"/>
                <w:szCs w:val="22"/>
                <w:lang w:val="en-US" w:eastAsia="et-EE"/>
              </w:rPr>
            </w:pPr>
            <w:r>
              <w:rPr>
                <w:b/>
                <w:bCs/>
                <w:sz w:val="22"/>
                <w:szCs w:val="22"/>
                <w:lang w:val="en-US" w:eastAsia="et-EE"/>
              </w:rPr>
              <w:t>Projektijuht korraldas andmete kogumise ja analüüsi.</w:t>
            </w:r>
            <w:r>
              <w:rPr>
                <w:sz w:val="22"/>
                <w:szCs w:val="22"/>
                <w:lang w:val="en-US" w:eastAsia="et-EE"/>
              </w:rPr>
              <w:t xml:space="preserve"> Andmete kogumine toimus vestluste, asjassepuutuva statistika ja artiklite lugemise ning analüüsi ja Sotsiaalrestorani potentsiaalsete prototüüporganisatsioonide (Poverello Brüsselis, Our Place Victoria B.C. Kanadas ja  Postcommons USA-s) tööprotsessidega tutvumises. </w:t>
            </w:r>
          </w:p>
          <w:p>
            <w:pPr>
              <w:pStyle w:val="Normal"/>
              <w:jc w:val="both"/>
              <w:rPr>
                <w:sz w:val="22"/>
                <w:szCs w:val="22"/>
                <w:lang w:val="en-US" w:eastAsia="et-EE"/>
              </w:rPr>
            </w:pPr>
            <w:r>
              <w:rPr>
                <w:sz w:val="22"/>
                <w:szCs w:val="22"/>
                <w:lang w:val="en-US" w:eastAsia="et-EE"/>
              </w:rPr>
            </w:r>
          </w:p>
          <w:p>
            <w:pPr>
              <w:pStyle w:val="Normal"/>
              <w:rPr>
                <w:sz w:val="22"/>
                <w:szCs w:val="22"/>
                <w:lang w:val="en-US" w:eastAsia="et-EE"/>
              </w:rPr>
            </w:pPr>
            <w:r>
              <w:rPr>
                <w:sz w:val="22"/>
                <w:szCs w:val="22"/>
                <w:lang w:val="en-US" w:eastAsia="et-EE"/>
              </w:rPr>
              <w:t xml:space="preserve">Ville Tikka artikkel </w:t>
            </w:r>
            <w:r>
              <w:rPr>
                <w:i/>
                <w:iCs/>
                <w:sz w:val="22"/>
                <w:szCs w:val="22"/>
                <w:lang w:val="en-US" w:eastAsia="et-EE"/>
              </w:rPr>
              <w:t>“Charitable food aid in Finland: from a social issue to an environmental solution”</w:t>
            </w:r>
            <w:r>
              <w:rPr>
                <w:sz w:val="22"/>
                <w:szCs w:val="22"/>
                <w:lang w:val="en-US" w:eastAsia="et-EE"/>
              </w:rPr>
              <w:t xml:space="preserve"> inspireeris vaatama toiduvaesuse vähendamise väljakutset just tugeva sotsiaalse kogukonna loomise perspektiivist. </w:t>
            </w:r>
          </w:p>
          <w:p>
            <w:pPr>
              <w:pStyle w:val="Normal"/>
              <w:rPr/>
            </w:pPr>
            <w:r>
              <w:rPr>
                <w:sz w:val="22"/>
                <w:szCs w:val="22"/>
                <w:lang w:val="en-US" w:eastAsia="et-EE"/>
              </w:rPr>
              <w:t xml:space="preserve">Tony Addy ja tema töörühma poolt koostatud dokument “Ühiselt elamise kunst” 2015 </w:t>
            </w:r>
            <w:hyperlink r:id="rId3">
              <w:r>
                <w:rPr>
                  <w:rStyle w:val="Internetilink"/>
                  <w:sz w:val="22"/>
                  <w:szCs w:val="22"/>
                  <w:lang w:val="en-US" w:eastAsia="et-EE"/>
                </w:rPr>
                <w:t>https://www.eelk.ee/wp-content/uploads/2018/08/Uhiselt_elamise_kunst-neti-LML-2015.pdf</w:t>
              </w:r>
            </w:hyperlink>
            <w:r>
              <w:rPr>
                <w:sz w:val="22"/>
                <w:szCs w:val="22"/>
                <w:lang w:val="en-US" w:eastAsia="et-EE"/>
              </w:rPr>
              <w:t xml:space="preserve"> pakub lahenduse vaesuse ja isoleerituse vähendamiseks läbi kogukonna ehitamise ning üksteise omavahelise teenimise läbi.</w:t>
            </w:r>
          </w:p>
          <w:p>
            <w:pPr>
              <w:pStyle w:val="Normal"/>
              <w:rPr>
                <w:sz w:val="22"/>
                <w:szCs w:val="22"/>
                <w:lang w:val="en-US" w:eastAsia="et-EE"/>
              </w:rPr>
            </w:pPr>
            <w:r>
              <w:rPr>
                <w:b/>
                <w:bCs/>
                <w:sz w:val="22"/>
                <w:szCs w:val="22"/>
                <w:lang w:val="en-US" w:eastAsia="et-EE"/>
              </w:rPr>
              <w:t>Kui toiduvaesust püüda lahendada ainult toiduraiskamise vähendamise kaudu, st suunates ülejääv toit toidupankade kaudu puudustkannatajatele, siis see võib sihtrühmas kasvatada potentsiaalset abitust veelgi. Kui aga Sotsiaalse restorani kaks alustala on tasakaalus: teadliku toitumise ning toiduraiskamise vähendamise propageerimine ühelt poolt ning kuulumist võimaldava teeniva ja toetava kogukonna arendamine teiselt poolt, siis avaneb Sotsiaalrestorani kaudu võimalus muuta inimeste elukvaliteeti.</w:t>
            </w:r>
          </w:p>
          <w:p>
            <w:pPr>
              <w:pStyle w:val="Normal"/>
              <w:rPr/>
            </w:pPr>
            <w:hyperlink r:id="rId4">
              <w:r>
                <w:rPr>
                  <w:rStyle w:val="Internetilink"/>
                  <w:sz w:val="22"/>
                  <w:szCs w:val="22"/>
                  <w:lang w:val="en-US" w:eastAsia="et-EE"/>
                </w:rPr>
                <w:t>https://www.researchgate.net/publication/330935503_Charitable_food_aid_in_Finland_from_a_social_issue_to_an_environmental_solution</w:t>
              </w:r>
            </w:hyperlink>
            <w:r>
              <w:rPr>
                <w:sz w:val="22"/>
                <w:szCs w:val="22"/>
                <w:lang w:val="en-US" w:eastAsia="et-EE"/>
              </w:rPr>
              <w:t xml:space="preserve"> </w:t>
            </w:r>
          </w:p>
          <w:p>
            <w:pPr>
              <w:pStyle w:val="Normal"/>
              <w:jc w:val="both"/>
              <w:rPr>
                <w:b/>
                <w:b/>
                <w:bCs/>
                <w:sz w:val="22"/>
                <w:szCs w:val="22"/>
                <w:lang w:val="en-US" w:eastAsia="et-EE"/>
              </w:rPr>
            </w:pPr>
            <w:r>
              <w:rPr>
                <w:b/>
                <w:bCs/>
                <w:sz w:val="22"/>
                <w:szCs w:val="22"/>
                <w:lang w:val="en-US" w:eastAsia="et-EE"/>
              </w:rPr>
              <w:t>Selle sammu tulemus on teadmine, et luua tuleb Sotsiaalrestoran, kus pakutakse suhteliselt odavalt tervislikku ja maitsvat toitu. Sotsiaalrestoranis on söömiseks esteetiline, avar, valgusküllane ja turvaline keskkond. Meeskonda kuuluvad sotsiaalselt tundlikud ja teadlikud noored ja nende mentorid</w:t>
            </w:r>
            <w:r>
              <w:rPr>
                <w:b/>
                <w:bCs/>
                <w:i/>
                <w:iCs/>
                <w:sz w:val="22"/>
                <w:szCs w:val="22"/>
                <w:lang w:val="en-US" w:eastAsia="et-EE"/>
              </w:rPr>
              <w:t xml:space="preserve">. </w:t>
            </w:r>
            <w:r>
              <w:rPr>
                <w:b/>
                <w:bCs/>
                <w:sz w:val="22"/>
                <w:szCs w:val="22"/>
                <w:lang w:val="en-US" w:eastAsia="et-EE"/>
              </w:rPr>
              <w:t>Sööma tulevad need, kellel kõht tühi ning kes soovivad toiduraiskamist vähendada ning edendada teadliku toitumise kultuuri Eestis ning välismaal. Rahvusvaheline mõõde kinnitab Sotsiaalrestorani valmisolekut teha koostööd eeskujudeks võetud sarnastelt sotsiaalsetelt ettevõtmistelt teistes riikides, võttes neilt üle parimad praktikad ning õppides nende poolt tehtud vigadest.</w:t>
            </w:r>
          </w:p>
          <w:p>
            <w:pPr>
              <w:pStyle w:val="Normal"/>
              <w:jc w:val="both"/>
              <w:rPr/>
            </w:pPr>
            <w:r>
              <w:rPr/>
            </w:r>
          </w:p>
          <w:p>
            <w:pPr>
              <w:pStyle w:val="Normal"/>
              <w:jc w:val="both"/>
              <w:rPr>
                <w:b/>
                <w:b/>
                <w:bCs/>
                <w:sz w:val="22"/>
                <w:szCs w:val="22"/>
                <w:lang w:val="en-US" w:eastAsia="et-EE"/>
              </w:rPr>
            </w:pPr>
            <w:r>
              <w:rPr>
                <w:b/>
                <w:bCs/>
                <w:sz w:val="22"/>
                <w:szCs w:val="22"/>
                <w:lang w:val="en-US" w:eastAsia="et-EE"/>
              </w:rPr>
              <w:t>Loodava Sotsiaalrestorani sihtrühm on sotsiaalselt teadlikud ja tundlikud noored, kes huvituvad toidukultuurist ja väärtuspõhisesse kogukonda kuulumisest ning ühiskonna mõjutamisest vähendamaks toiduvaesust ning raiskamist.</w:t>
            </w:r>
          </w:p>
        </w:tc>
      </w:tr>
      <w:tr>
        <w:trPr>
          <w:trHeight w:val="71" w:hRule="atLeast"/>
        </w:trPr>
        <w:tc>
          <w:tcPr>
            <w:tcW w:w="1015"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sz w:val="22"/>
                <w:szCs w:val="22"/>
                <w:lang w:val="en-US" w:eastAsia="et-EE"/>
              </w:rPr>
            </w:pPr>
            <w:r>
              <w:rPr>
                <w:sz w:val="22"/>
                <w:szCs w:val="22"/>
                <w:lang w:val="en-US" w:eastAsia="et-EE"/>
              </w:rPr>
              <w:t>Mai-juuli</w:t>
            </w:r>
          </w:p>
        </w:tc>
        <w:tc>
          <w:tcPr>
            <w:tcW w:w="890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rPr>
                <w:b/>
                <w:b/>
                <w:bCs/>
                <w:sz w:val="22"/>
                <w:szCs w:val="22"/>
                <w:lang w:eastAsia="et-EE"/>
              </w:rPr>
            </w:pPr>
            <w:r>
              <w:rPr>
                <w:b/>
                <w:bCs/>
                <w:sz w:val="22"/>
                <w:szCs w:val="22"/>
                <w:lang w:val="en-US" w:eastAsia="et-EE"/>
              </w:rPr>
              <w:t>L</w:t>
            </w:r>
            <w:r>
              <w:rPr>
                <w:b/>
                <w:bCs/>
                <w:sz w:val="22"/>
                <w:szCs w:val="22"/>
                <w:lang w:eastAsia="et-EE"/>
              </w:rPr>
              <w:t xml:space="preserve">äbirääkimiste pidamine, kokkulepete sõlmimine </w:t>
            </w:r>
            <w:r>
              <w:rPr>
                <w:b/>
                <w:bCs/>
                <w:sz w:val="22"/>
                <w:szCs w:val="22"/>
                <w:lang w:val="en-US" w:eastAsia="et-EE"/>
              </w:rPr>
              <w:t>ning rahvusvahelise projekti ettevalmistused (AH20)</w:t>
            </w:r>
          </w:p>
          <w:p>
            <w:pPr>
              <w:pStyle w:val="Normal"/>
              <w:rPr>
                <w:sz w:val="22"/>
                <w:szCs w:val="22"/>
                <w:lang w:eastAsia="et-EE"/>
              </w:rPr>
            </w:pPr>
            <w:r>
              <w:rPr>
                <w:b/>
                <w:bCs/>
                <w:sz w:val="22"/>
                <w:szCs w:val="22"/>
                <w:lang w:val="en-US" w:eastAsia="et-EE"/>
              </w:rPr>
              <w:t>Läbi räägiti erinevate eesti tippkokkadega ning erinevate spetsialistidega,</w:t>
            </w:r>
            <w:r>
              <w:rPr>
                <w:sz w:val="22"/>
                <w:szCs w:val="22"/>
                <w:lang w:val="en-US" w:eastAsia="et-EE"/>
              </w:rPr>
              <w:t xml:space="preserve"> kes on eelnevalt panustanud toiduvaesuse vähendamisse ja teadliku toitumise ning toidukultuuri propageerimisse.</w:t>
            </w:r>
          </w:p>
          <w:p>
            <w:pPr>
              <w:pStyle w:val="Normal"/>
              <w:rPr>
                <w:sz w:val="22"/>
                <w:szCs w:val="22"/>
                <w:lang w:eastAsia="et-EE"/>
              </w:rPr>
            </w:pPr>
            <w:r>
              <w:rPr>
                <w:sz w:val="22"/>
                <w:szCs w:val="22"/>
                <w:lang w:val="en-US" w:eastAsia="et-EE"/>
              </w:rPr>
              <w:t>1. Kristjan Peäske, Lore Bistroo.</w:t>
            </w:r>
          </w:p>
          <w:p>
            <w:pPr>
              <w:pStyle w:val="Normal"/>
              <w:rPr>
                <w:sz w:val="22"/>
                <w:szCs w:val="22"/>
                <w:lang w:eastAsia="et-EE"/>
              </w:rPr>
            </w:pPr>
            <w:r>
              <w:rPr>
                <w:sz w:val="22"/>
                <w:szCs w:val="22"/>
                <w:lang w:val="en-US" w:eastAsia="et-EE"/>
              </w:rPr>
              <w:t>Otsiti kokkupuutepunkte võimaliku koostöö jaoks Sotsiaalrestorani loomisel. Leiti, et arusaamine Sotsiaalrestorani mudeli suhtes on liiga erinev selleks, et hetkel koostööd jätkata. Võimalik on koostöö hilisemas faasis ja sellest oldakse selgelt huvitatud.</w:t>
            </w:r>
          </w:p>
          <w:p>
            <w:pPr>
              <w:pStyle w:val="Normal"/>
              <w:rPr>
                <w:sz w:val="22"/>
                <w:szCs w:val="22"/>
                <w:lang w:eastAsia="et-EE"/>
              </w:rPr>
            </w:pPr>
            <w:r>
              <w:rPr>
                <w:sz w:val="22"/>
                <w:szCs w:val="22"/>
                <w:lang w:val="en-US" w:eastAsia="et-EE"/>
              </w:rPr>
              <w:t>2, Inga Paenurm, Markofka Toidutuba, Eesti Peakokkade Ühendus.</w:t>
            </w:r>
          </w:p>
          <w:p>
            <w:pPr>
              <w:pStyle w:val="Normal"/>
              <w:rPr>
                <w:sz w:val="22"/>
                <w:szCs w:val="22"/>
                <w:lang w:eastAsia="et-EE"/>
              </w:rPr>
            </w:pPr>
            <w:r>
              <w:rPr>
                <w:sz w:val="22"/>
                <w:szCs w:val="22"/>
                <w:lang w:val="en-US" w:eastAsia="et-EE"/>
              </w:rPr>
              <w:t>Otsiti ja leiti ühised huvid mõjutada toidkultuuri arendamist ja toetada teadlikku toitumist, eriti noorte hulgas. Koostöö jätkub ning selleks tehakse koostööplaan Sotsiaalrestorani loomise järgmises faasis.</w:t>
            </w:r>
          </w:p>
          <w:p>
            <w:pPr>
              <w:pStyle w:val="Normal"/>
              <w:rPr>
                <w:sz w:val="22"/>
                <w:szCs w:val="22"/>
                <w:lang w:eastAsia="et-EE"/>
              </w:rPr>
            </w:pPr>
            <w:r>
              <w:rPr>
                <w:sz w:val="22"/>
                <w:szCs w:val="22"/>
                <w:lang w:val="en-US" w:eastAsia="et-EE"/>
              </w:rPr>
              <w:t>3. Margit Arndt-Kalju, ajakirjanik, pakkus välja koostöömõtte Inga Paenurmega.</w:t>
            </w:r>
          </w:p>
          <w:p>
            <w:pPr>
              <w:pStyle w:val="Normal"/>
              <w:rPr>
                <w:sz w:val="22"/>
                <w:szCs w:val="22"/>
                <w:lang w:eastAsia="et-EE"/>
              </w:rPr>
            </w:pPr>
            <w:r>
              <w:rPr>
                <w:sz w:val="22"/>
                <w:szCs w:val="22"/>
                <w:lang w:val="en-US" w:eastAsia="et-EE"/>
              </w:rPr>
              <w:t>4. Kaia Oras, Statistikaameti juhtivanalüütik, keskkonnaspetsialist. Toimus arutelu noorte keskkonnateadlikkuse ning selle mõjutamise teemal.</w:t>
            </w:r>
          </w:p>
          <w:p>
            <w:pPr>
              <w:pStyle w:val="Normal"/>
              <w:rPr>
                <w:sz w:val="22"/>
                <w:szCs w:val="22"/>
                <w:lang w:eastAsia="et-EE"/>
              </w:rPr>
            </w:pPr>
            <w:r>
              <w:rPr>
                <w:sz w:val="22"/>
                <w:szCs w:val="22"/>
                <w:lang w:val="en-US" w:eastAsia="et-EE"/>
              </w:rPr>
              <w:t>5. Liina Kilemit, Tallinna Linnavalitsus, Sotsioloog. Toimus mitu vestlust noorte kodanike kuulumisvajaduse teemal ning puudustkannatavate inimeste vajadust teemal.</w:t>
            </w:r>
          </w:p>
          <w:p>
            <w:pPr>
              <w:pStyle w:val="Normal"/>
              <w:rPr>
                <w:sz w:val="22"/>
                <w:szCs w:val="22"/>
                <w:lang w:eastAsia="et-EE"/>
              </w:rPr>
            </w:pPr>
            <w:r>
              <w:rPr>
                <w:sz w:val="22"/>
                <w:szCs w:val="22"/>
                <w:lang w:val="en-US" w:eastAsia="et-EE"/>
              </w:rPr>
              <w:t>6. Tõnu Lehtsaar, Tartu Ülikool, psühholoog. Toimus arutelu noorte kuulumisvajaduse ning vaimse tervise teemal.</w:t>
            </w:r>
          </w:p>
        </w:tc>
      </w:tr>
      <w:tr>
        <w:trPr>
          <w:trHeight w:val="71" w:hRule="atLeast"/>
        </w:trPr>
        <w:tc>
          <w:tcPr>
            <w:tcW w:w="1015"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sz w:val="22"/>
                <w:szCs w:val="22"/>
                <w:lang w:val="en-US" w:eastAsia="et-EE"/>
              </w:rPr>
            </w:pPr>
            <w:r>
              <w:rPr>
                <w:sz w:val="22"/>
                <w:szCs w:val="22"/>
                <w:lang w:val="en-US" w:eastAsia="et-EE"/>
              </w:rPr>
            </w:r>
          </w:p>
        </w:tc>
        <w:tc>
          <w:tcPr>
            <w:tcW w:w="890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pPr>
            <w:r>
              <w:rPr>
                <w:b/>
                <w:bCs/>
                <w:sz w:val="22"/>
                <w:szCs w:val="22"/>
                <w:lang w:val="en-US" w:eastAsia="et-EE"/>
              </w:rPr>
              <w:t xml:space="preserve">Lasnamäe Linnaosa vanema Vladimir Svetiga ja Lasnamäe Sotsiaalosakona juhataja Regina Trumaniga. </w:t>
            </w:r>
            <w:r>
              <w:rPr>
                <w:sz w:val="22"/>
                <w:szCs w:val="22"/>
                <w:lang w:val="en-US" w:eastAsia="et-EE"/>
              </w:rPr>
              <w:t xml:space="preserve">Viimasele tehti ülesandeks Sotsiaalrestorani teemaga lähemalt tutvuda, sellesse tutvumisse kaasata Sotsiaalkeskuse juhata Ivika Kärner  ja Sotsiaalteenuste Talituse juhataja Leili Vaikmaa. </w:t>
            </w:r>
          </w:p>
          <w:p>
            <w:pPr>
              <w:pStyle w:val="Normal"/>
              <w:jc w:val="both"/>
              <w:rPr>
                <w:sz w:val="22"/>
                <w:szCs w:val="22"/>
                <w:lang w:val="en-US" w:eastAsia="et-EE"/>
              </w:rPr>
            </w:pPr>
            <w:r>
              <w:rPr>
                <w:sz w:val="22"/>
                <w:szCs w:val="22"/>
                <w:lang w:val="en-US" w:eastAsia="et-EE"/>
              </w:rPr>
              <w:t>Arutelus Regina Trumanni, Ivika Kärneri ning Leili Vaikmaaga</w:t>
            </w:r>
            <w:r>
              <w:rPr>
                <w:b/>
                <w:bCs/>
                <w:sz w:val="22"/>
                <w:szCs w:val="22"/>
                <w:lang w:val="en-US" w:eastAsia="et-EE"/>
              </w:rPr>
              <w:t xml:space="preserve"> selgus, et loodav Sotsiaalrestoran on mõistlik suunata just sotsiaalselt tundlikele noortele, kelle loomuses on nõrgemiad aidata, kes soovivad end rakendada ja sõpruskonda luua. Vanemate, korteritesse sulgunud inimeste väljatoomine Lasnamäele uude söögikohta on ebapraktiline ülesanne, mõttekas on luua Sotsiaalrestoran noortele harjumuspärasesse ja käidavasse asukohta.</w:t>
            </w:r>
          </w:p>
          <w:p>
            <w:pPr>
              <w:pStyle w:val="Normal"/>
              <w:jc w:val="both"/>
              <w:rPr>
                <w:b/>
                <w:b/>
                <w:bCs/>
                <w:sz w:val="22"/>
                <w:szCs w:val="22"/>
                <w:lang w:val="en-US" w:eastAsia="et-EE"/>
              </w:rPr>
            </w:pPr>
            <w:r>
              <w:rPr>
                <w:b/>
                <w:bCs/>
                <w:sz w:val="22"/>
                <w:szCs w:val="22"/>
                <w:lang w:val="en-US" w:eastAsia="et-EE"/>
              </w:rPr>
            </w:r>
          </w:p>
          <w:p>
            <w:pPr>
              <w:pStyle w:val="Normal"/>
              <w:jc w:val="both"/>
              <w:rPr/>
            </w:pPr>
            <w:r>
              <w:rPr>
                <w:b/>
                <w:bCs/>
                <w:sz w:val="22"/>
                <w:szCs w:val="22"/>
                <w:lang w:val="en-US" w:eastAsia="et-EE"/>
              </w:rPr>
              <w:t>Politsei ja Piirivalveamet</w:t>
            </w:r>
          </w:p>
          <w:p>
            <w:pPr>
              <w:pStyle w:val="Normal"/>
              <w:jc w:val="both"/>
              <w:rPr>
                <w:sz w:val="22"/>
                <w:szCs w:val="22"/>
                <w:lang w:val="en-US" w:eastAsia="et-EE"/>
              </w:rPr>
            </w:pPr>
            <w:r>
              <w:rPr>
                <w:sz w:val="22"/>
                <w:szCs w:val="22"/>
                <w:lang w:val="en-US" w:eastAsia="et-EE"/>
              </w:rPr>
              <w:t>Projektijuht töötab abipolitseinikuna ning osaleb patrullteenistuses, kus ta näeb regulaarselt igapäevaelu vaevalisemat poolt, samuti teenib ta kaplanina Põhja prefektuuri politseinike ning on kursis probleemidega, millega politsinikud igapäevaselt silmitsi on.</w:t>
            </w:r>
          </w:p>
          <w:p>
            <w:pPr>
              <w:pStyle w:val="Normal"/>
              <w:jc w:val="both"/>
              <w:rPr>
                <w:b/>
                <w:b/>
                <w:bCs/>
                <w:sz w:val="22"/>
                <w:szCs w:val="22"/>
                <w:lang w:val="en-US" w:eastAsia="et-EE"/>
              </w:rPr>
            </w:pPr>
            <w:r>
              <w:rPr>
                <w:b/>
                <w:bCs/>
                <w:sz w:val="22"/>
                <w:szCs w:val="22"/>
                <w:lang w:val="en-US" w:eastAsia="et-EE"/>
              </w:rPr>
              <w:t>TULEMUS</w:t>
            </w:r>
          </w:p>
          <w:p>
            <w:pPr>
              <w:pStyle w:val="Normal"/>
              <w:jc w:val="both"/>
              <w:rPr>
                <w:b/>
                <w:b/>
                <w:bCs/>
                <w:sz w:val="22"/>
                <w:szCs w:val="22"/>
                <w:lang w:val="en-US" w:eastAsia="et-EE"/>
              </w:rPr>
            </w:pPr>
            <w:r>
              <w:rPr>
                <w:b/>
                <w:bCs/>
                <w:sz w:val="22"/>
                <w:szCs w:val="22"/>
                <w:lang w:val="en-US" w:eastAsia="et-EE"/>
              </w:rPr>
              <w:t>Vaatlemise ning vestluste teel leidis kinnitust teadmine Eestis levinud kodanikuühiskonna nõrgast poolest ning süsteemsest negatiivsest sisendist kodanike, eriti noorte, ühiskondlike harjumuste kujunemisse.</w:t>
            </w:r>
          </w:p>
          <w:p>
            <w:pPr>
              <w:pStyle w:val="Normal"/>
              <w:jc w:val="both"/>
              <w:rPr/>
            </w:pPr>
            <w:r>
              <w:rPr>
                <w:b/>
                <w:bCs/>
                <w:sz w:val="22"/>
                <w:szCs w:val="22"/>
                <w:lang w:val="en-US" w:eastAsia="et-EE"/>
              </w:rPr>
              <w:t>Paljud noored veedavad olulise osa oma ajast kampades parkides, mänguväljakutel ning ostukeskustes. Kuna raha on vähe, siis võimalusel ostetakse kõige odavamat olematu toiteväärtusega rämpstoitu. Lisaks on kampades omapead tegutsevatel noortel oht sattuda kuritegevuse ohvriks või isegi kurjategijaks. Sagedased väljakutsed politseile tehakse seoses lähisuhtevägivallaga: purjus kodanik, kes on oma raha kasiinos maha mänginud tekitab kodustele, sageli lastele ja noortele, kannatust. Noored saavad sellisest kodust kaasa riknenud sotsiaalsed oskused ja vajavad tuge terveks ja vastutusvõimeliseks kodanikuks kasvamisel.</w:t>
            </w:r>
          </w:p>
          <w:p>
            <w:pPr>
              <w:pStyle w:val="Normal"/>
              <w:jc w:val="both"/>
              <w:rPr>
                <w:b/>
                <w:b/>
                <w:bCs/>
                <w:sz w:val="22"/>
                <w:szCs w:val="22"/>
                <w:lang w:val="en-US" w:eastAsia="et-EE"/>
              </w:rPr>
            </w:pPr>
            <w:r>
              <w:rPr>
                <w:b/>
                <w:bCs/>
                <w:sz w:val="22"/>
                <w:szCs w:val="22"/>
                <w:lang w:val="en-US" w:eastAsia="et-EE"/>
              </w:rPr>
              <w:t>Sotsiaalrestoranis kaasatöötamine annab noortele võimaluse olla osa väärtuspõhisest kogukonnast, leida häid sõpru ja kujuneda vastutustundliku kodanikuna mentorite käe all turvalises ja toetavas keskkonnas ja teenida kaaskodanikke.</w:t>
            </w:r>
          </w:p>
          <w:p>
            <w:pPr>
              <w:pStyle w:val="Normal"/>
              <w:jc w:val="both"/>
              <w:rPr>
                <w:b/>
                <w:b/>
                <w:bCs/>
                <w:sz w:val="22"/>
                <w:szCs w:val="22"/>
                <w:lang w:val="en-US" w:eastAsia="et-EE"/>
              </w:rPr>
            </w:pPr>
            <w:r>
              <w:rPr>
                <w:b/>
                <w:bCs/>
                <w:sz w:val="22"/>
                <w:szCs w:val="22"/>
                <w:lang w:val="en-US" w:eastAsia="et-EE"/>
              </w:rPr>
            </w:r>
          </w:p>
          <w:p>
            <w:pPr>
              <w:pStyle w:val="Normal"/>
              <w:jc w:val="both"/>
              <w:rPr>
                <w:b/>
                <w:b/>
                <w:bCs/>
                <w:lang w:val="en-US"/>
              </w:rPr>
            </w:pPr>
            <w:r>
              <w:rPr>
                <w:b/>
                <w:bCs/>
                <w:lang w:val="en-US"/>
              </w:rPr>
            </w:r>
          </w:p>
        </w:tc>
      </w:tr>
      <w:tr>
        <w:trPr>
          <w:trHeight w:val="143" w:hRule="atLeast"/>
        </w:trPr>
        <w:tc>
          <w:tcPr>
            <w:tcW w:w="1015"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sz w:val="22"/>
                <w:szCs w:val="22"/>
                <w:lang w:val="en-US" w:eastAsia="et-EE"/>
              </w:rPr>
            </w:pPr>
            <w:r>
              <w:rPr>
                <w:sz w:val="22"/>
                <w:szCs w:val="22"/>
                <w:lang w:val="en-US" w:eastAsia="et-EE"/>
              </w:rPr>
              <w:t>august</w:t>
            </w:r>
          </w:p>
        </w:tc>
        <w:tc>
          <w:tcPr>
            <w:tcW w:w="890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b/>
                <w:b/>
                <w:bCs/>
                <w:sz w:val="22"/>
                <w:szCs w:val="22"/>
                <w:lang w:val="en-US" w:eastAsia="et-EE"/>
              </w:rPr>
            </w:pPr>
            <w:r>
              <w:rPr>
                <w:b/>
                <w:bCs/>
                <w:sz w:val="22"/>
                <w:szCs w:val="22"/>
                <w:lang w:val="en-US" w:eastAsia="et-EE"/>
              </w:rPr>
              <w:t>Arenguhüpe 2020 projekti lähteülesande ja tegevusplaani koostamine.</w:t>
            </w:r>
          </w:p>
          <w:p>
            <w:pPr>
              <w:pStyle w:val="Normal"/>
              <w:jc w:val="both"/>
              <w:rPr>
                <w:sz w:val="22"/>
                <w:szCs w:val="22"/>
                <w:lang w:val="en-US" w:eastAsia="et-EE"/>
              </w:rPr>
            </w:pPr>
            <w:r>
              <w:rPr>
                <w:sz w:val="22"/>
                <w:szCs w:val="22"/>
                <w:lang w:val="en-US" w:eastAsia="et-EE"/>
              </w:rPr>
              <w:t>Lähteülesanne püstitatud: Luuakse sotsiaalselt tundlike ja teadlike noorte kaasamisel Sotsiaalrestoran eesmärgiga toita inimesi. Lähtutakse inimväärikuse toetamisest ning luuakse turmaline ning meeldiv kogukond neile, kes sinna kuuluda tahavad. Sotsiaalrestoran luuakse sellisena, et loojad sinna ka ise kuuluda tahavad ning oma lastel seal kaasalöömist soosivad.</w:t>
            </w:r>
          </w:p>
          <w:p>
            <w:pPr>
              <w:pStyle w:val="Normal"/>
              <w:jc w:val="both"/>
              <w:rPr>
                <w:sz w:val="22"/>
                <w:szCs w:val="22"/>
                <w:lang w:val="en-US" w:eastAsia="et-EE"/>
              </w:rPr>
            </w:pPr>
            <w:r>
              <w:rPr>
                <w:sz w:val="22"/>
                <w:szCs w:val="22"/>
                <w:lang w:val="en-US" w:eastAsia="et-EE"/>
              </w:rPr>
            </w:r>
          </w:p>
          <w:p>
            <w:pPr>
              <w:pStyle w:val="Normal"/>
              <w:jc w:val="both"/>
              <w:rPr>
                <w:sz w:val="22"/>
                <w:szCs w:val="22"/>
                <w:lang w:val="en-US" w:eastAsia="et-EE"/>
              </w:rPr>
            </w:pPr>
            <w:r>
              <w:rPr>
                <w:sz w:val="22"/>
                <w:szCs w:val="22"/>
                <w:lang w:val="en-US" w:eastAsia="et-EE"/>
              </w:rPr>
            </w:r>
          </w:p>
        </w:tc>
      </w:tr>
      <w:tr>
        <w:trPr>
          <w:trHeight w:val="143" w:hRule="atLeast"/>
        </w:trPr>
        <w:tc>
          <w:tcPr>
            <w:tcW w:w="1015" w:type="dxa"/>
            <w:tcBorders>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lang w:val="en-US"/>
              </w:rPr>
            </w:pPr>
            <w:r>
              <w:rPr>
                <w:lang w:val="en-US"/>
              </w:rPr>
              <w:t>mai-august</w:t>
            </w:r>
          </w:p>
        </w:tc>
        <w:tc>
          <w:tcPr>
            <w:tcW w:w="8906" w:type="dxa"/>
            <w:tcBorders>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lang w:val="en-US"/>
              </w:rPr>
            </w:pPr>
            <w:r>
              <w:rPr>
                <w:lang w:val="en-US"/>
              </w:rPr>
              <w:t>Koostöö Headusering / Circle of Kindness on Padma Devi Foundation MTÜ allprojekt</w:t>
            </w:r>
            <w:r>
              <w:rPr>
                <w:lang w:val="en-US"/>
              </w:rPr>
              <w:t>iga</w:t>
            </w:r>
            <w:r>
              <w:rPr>
                <w:lang w:val="en-US"/>
              </w:rPr>
              <w:t xml:space="preserve">, mille loojaks on Indrek Kaing, </w:t>
            </w:r>
            <w:r>
              <w:rPr>
                <w:lang w:val="en-US"/>
              </w:rPr>
              <w:t>e</w:t>
            </w:r>
            <w:r>
              <w:rPr>
                <w:lang w:val="en-US"/>
              </w:rPr>
              <w:t>esmär</w:t>
            </w:r>
            <w:r>
              <w:rPr>
                <w:lang w:val="en-US"/>
              </w:rPr>
              <w:t>giga</w:t>
            </w:r>
            <w:r>
              <w:rPr>
                <w:lang w:val="en-US"/>
              </w:rPr>
              <w:t xml:space="preserve"> aidata Toidupanka B2B ja B2Gov suhetes ning rahvusvahelise võrgustiku laiendamisel. </w:t>
            </w:r>
            <w:r>
              <w:rPr>
                <w:lang w:val="en-US"/>
              </w:rPr>
              <w:t>Headusering p</w:t>
            </w:r>
            <w:r>
              <w:rPr>
                <w:lang w:val="en-US"/>
              </w:rPr>
              <w:t>anusta</w:t>
            </w:r>
            <w:r>
              <w:rPr>
                <w:lang w:val="en-US"/>
              </w:rPr>
              <w:t>b</w:t>
            </w:r>
            <w:r>
              <w:rPr>
                <w:lang w:val="en-US"/>
              </w:rPr>
              <w:t xml:space="preserve"> ise taristu arendusse ning soovi</w:t>
            </w:r>
            <w:r>
              <w:rPr>
                <w:lang w:val="en-US"/>
              </w:rPr>
              <w:t xml:space="preserve">b </w:t>
            </w:r>
            <w:r>
              <w:rPr>
                <w:lang w:val="en-US"/>
              </w:rPr>
              <w:t xml:space="preserve">inspireerida ka teisi panustama just enda tegevusvaldkonnast. </w:t>
            </w:r>
            <w:r>
              <w:rPr>
                <w:lang w:val="en-US"/>
              </w:rPr>
              <w:t>Mõtlesime koos kuidas</w:t>
            </w:r>
            <w:r>
              <w:rPr>
                <w:lang w:val="en-US"/>
              </w:rPr>
              <w:t xml:space="preserve"> kaasa mõelda ja rääkida toidu raiskamise, raiskamise ennetuse ja toidu päästmise teemadel. </w:t>
            </w:r>
            <w:r>
              <w:rPr>
                <w:lang w:val="en-US"/>
              </w:rPr>
              <w:t>Ühien teekond ootab meid ees.</w:t>
            </w:r>
          </w:p>
        </w:tc>
      </w:tr>
      <w:tr>
        <w:trPr>
          <w:trHeight w:val="143" w:hRule="atLeast"/>
        </w:trPr>
        <w:tc>
          <w:tcPr>
            <w:tcW w:w="1015"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sz w:val="22"/>
                <w:szCs w:val="22"/>
                <w:lang w:val="en-US" w:eastAsia="et-EE"/>
              </w:rPr>
            </w:pPr>
            <w:r>
              <w:rPr>
                <w:sz w:val="22"/>
                <w:szCs w:val="22"/>
                <w:lang w:val="en-US" w:eastAsia="et-EE"/>
              </w:rPr>
              <w:t>juuli-august</w:t>
            </w:r>
          </w:p>
        </w:tc>
        <w:tc>
          <w:tcPr>
            <w:tcW w:w="890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vAlign w:val="center"/>
          </w:tcPr>
          <w:p>
            <w:pPr>
              <w:pStyle w:val="Normal"/>
              <w:jc w:val="both"/>
              <w:rPr>
                <w:b/>
                <w:b/>
                <w:bCs/>
                <w:sz w:val="22"/>
                <w:szCs w:val="22"/>
                <w:lang w:val="en-US" w:eastAsia="et-EE"/>
              </w:rPr>
            </w:pPr>
            <w:r>
              <w:rPr>
                <w:b/>
                <w:bCs/>
                <w:sz w:val="22"/>
                <w:szCs w:val="22"/>
                <w:lang w:val="en-US" w:eastAsia="et-EE"/>
              </w:rPr>
              <w:t>Projekti vormistamine ja lihvimine koos partneritega KÜSK 2020. aasta septembri taotlusvooruks.</w:t>
            </w:r>
          </w:p>
          <w:p>
            <w:pPr>
              <w:pStyle w:val="Normal"/>
              <w:jc w:val="both"/>
              <w:rPr>
                <w:b/>
                <w:b/>
                <w:bCs/>
                <w:sz w:val="22"/>
                <w:szCs w:val="22"/>
                <w:lang w:val="en-US" w:eastAsia="et-EE"/>
              </w:rPr>
            </w:pPr>
            <w:r>
              <w:rPr>
                <w:b/>
                <w:bCs/>
                <w:sz w:val="22"/>
                <w:szCs w:val="22"/>
                <w:lang w:val="en-US" w:eastAsia="et-EE"/>
              </w:rPr>
            </w:r>
          </w:p>
          <w:p>
            <w:pPr>
              <w:pStyle w:val="Normal"/>
              <w:jc w:val="both"/>
              <w:rPr>
                <w:sz w:val="22"/>
                <w:szCs w:val="22"/>
                <w:lang w:val="en-US" w:eastAsia="et-EE"/>
              </w:rPr>
            </w:pPr>
            <w:r>
              <w:rPr>
                <w:sz w:val="22"/>
                <w:szCs w:val="22"/>
                <w:lang w:val="en-US" w:eastAsia="et-EE"/>
              </w:rPr>
              <w:t>Terve projektiperioodi töö tulemus, milleks on Sotsiaalrestorani loomise tegevusplaan, on vormistatud KÜSK 2020 arenguhüppe vooru taotlusena.</w:t>
            </w:r>
          </w:p>
        </w:tc>
      </w:tr>
      <w:tr>
        <w:trPr>
          <w:trHeight w:val="284" w:hRule="atLeast"/>
        </w:trPr>
        <w:tc>
          <w:tcPr>
            <w:tcW w:w="9921" w:type="dxa"/>
            <w:gridSpan w:val="2"/>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D9E2F3" w:themeFill="accent1" w:themeFillTint="33" w:val="clear"/>
          </w:tcPr>
          <w:p>
            <w:pPr>
              <w:pStyle w:val="Normal"/>
              <w:ind w:left="57" w:right="57" w:hanging="0"/>
              <w:jc w:val="both"/>
              <w:rPr/>
            </w:pPr>
            <w:r>
              <w:rPr>
                <w:sz w:val="22"/>
                <w:szCs w:val="22"/>
                <w:shd w:fill="D9E2F3" w:val="clear"/>
              </w:rPr>
              <w:t xml:space="preserve">Tagantjärele vaadates – kas need konkreetsed projektitegevused olid projekti eesmärgi saavutamiseks kõige otstarbekamad ja mõjusamad? </w:t>
            </w:r>
          </w:p>
        </w:tc>
      </w:tr>
      <w:tr>
        <w:trPr>
          <w:trHeight w:val="1134" w:hRule="atLeast"/>
        </w:trPr>
        <w:tc>
          <w:tcPr>
            <w:tcW w:w="9921" w:type="dxa"/>
            <w:gridSpan w:val="2"/>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Pr>
          <w:p>
            <w:pPr>
              <w:pStyle w:val="Normal"/>
              <w:ind w:left="57" w:right="57" w:hanging="0"/>
              <w:jc w:val="both"/>
              <w:rPr>
                <w:sz w:val="22"/>
                <w:szCs w:val="22"/>
                <w:lang w:val="en-US"/>
              </w:rPr>
            </w:pPr>
            <w:r>
              <w:rPr>
                <w:sz w:val="22"/>
                <w:szCs w:val="22"/>
                <w:lang w:val="en-US"/>
              </w:rPr>
              <w:t>Jah, nimetatud tegevused olid otstarbekad. Mitte kõik kontaktid ei päädinud koostöökokkuleppega, kuid isegi tõdemus, mismoodi ja kellega koos ei ole otstarbekas edasi liikuda, annab tunnistust töö tõhususest.</w:t>
            </w:r>
          </w:p>
          <w:p>
            <w:pPr>
              <w:pStyle w:val="Normal"/>
              <w:ind w:left="57" w:right="57" w:hanging="0"/>
              <w:jc w:val="both"/>
              <w:rPr>
                <w:sz w:val="22"/>
                <w:szCs w:val="22"/>
                <w:lang w:val="en-US"/>
              </w:rPr>
            </w:pPr>
            <w:r>
              <w:rPr>
                <w:sz w:val="22"/>
                <w:szCs w:val="22"/>
                <w:lang w:val="en-US"/>
              </w:rPr>
              <w:t>Selgus, et kaasamõtlejaid Sotsiaalrestorani loomisele on palju ning mitte keegi ei öelnud, et sellist kohta ei ole vaja. Pigem nägid nii ettevõtjad, kokad, poliitikud avaliku korra kaitsjad, teadlased Sotsiaalrestoranis võimalust toetada noori kasvama sotsiaalselt vastutustvõtvaks kogukonnaks, ning saama hakkama inimese üht põhivajadust täitva ettevõtmisega, nimelt toidu valmistamise ja pakkumisega.</w:t>
            </w:r>
          </w:p>
        </w:tc>
      </w:tr>
    </w:tbl>
    <w:p>
      <w:pPr>
        <w:pStyle w:val="Normal"/>
        <w:rPr>
          <w:vanish/>
          <w:sz w:val="22"/>
          <w:szCs w:val="22"/>
        </w:rPr>
      </w:pPr>
      <w:r>
        <w:rPr>
          <w:vanish/>
          <w:sz w:val="22"/>
          <w:szCs w:val="22"/>
        </w:rPr>
      </w:r>
    </w:p>
    <w:p>
      <w:pPr>
        <w:pStyle w:val="Normal"/>
        <w:rPr>
          <w:sz w:val="22"/>
          <w:szCs w:val="22"/>
        </w:rPr>
      </w:pPr>
      <w:r>
        <w:rPr>
          <w:sz w:val="22"/>
          <w:szCs w:val="22"/>
        </w:rPr>
      </w:r>
    </w:p>
    <w:tbl>
      <w:tblPr>
        <w:tblW w:w="992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7" w:type="dxa"/>
        </w:tblCellMar>
        <w:tblLook w:firstRow="0" w:noVBand="0" w:lastRow="0" w:firstColumn="0" w:lastColumn="0" w:noHBand="0" w:val="0000"/>
      </w:tblPr>
      <w:tblGrid>
        <w:gridCol w:w="9923"/>
      </w:tblGrid>
      <w:tr>
        <w:trPr>
          <w:trHeight w:val="567" w:hRule="atLeast"/>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tcPr>
          <w:p>
            <w:pPr>
              <w:pStyle w:val="Normal"/>
              <w:spacing w:before="120" w:after="120"/>
              <w:ind w:left="57" w:right="57" w:hanging="0"/>
              <w:jc w:val="both"/>
              <w:rPr>
                <w:b/>
                <w:b/>
                <w:color w:val="FF0000"/>
              </w:rPr>
            </w:pPr>
            <w:r>
              <w:rPr>
                <w:b/>
                <w:sz w:val="22"/>
                <w:szCs w:val="22"/>
              </w:rPr>
              <w:t>II Projekti meeskond ja osapooled</w:t>
            </w:r>
            <w:r>
              <w:rPr>
                <w:color w:val="FF0000"/>
              </w:rPr>
              <w:t xml:space="preserve"> </w:t>
            </w:r>
            <w:r>
              <w:rPr/>
              <w:t>(Kirjeldage projekti meeskonda. Kuidas ning mil määral kaasasite sihtrühma, vabatahtlikke, partnereid? Kuidas toimis koostöö? Lisaks kirjeldage koostööd projekti kaasatud välise arengueksperdiga.)</w:t>
            </w:r>
          </w:p>
        </w:tc>
      </w:tr>
      <w:tr>
        <w:trPr>
          <w:trHeight w:val="1134" w:hRule="atLeast"/>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lang w:val="en-US"/>
              </w:rPr>
            </w:pPr>
            <w:r>
              <w:rPr>
                <w:bCs/>
                <w:sz w:val="22"/>
                <w:szCs w:val="22"/>
                <w:lang w:val="en-US"/>
              </w:rPr>
              <w:t xml:space="preserve">Projekltitaotluses oli prokjekti meeskonna töö kirjeldatud järgnevalt: </w:t>
            </w:r>
          </w:p>
          <w:p>
            <w:pPr>
              <w:pStyle w:val="Normal"/>
              <w:rPr>
                <w:bCs/>
                <w:sz w:val="22"/>
                <w:szCs w:val="22"/>
                <w:lang w:val="en-US"/>
              </w:rPr>
            </w:pPr>
            <w:r>
              <w:rPr>
                <w:bCs/>
                <w:sz w:val="22"/>
                <w:szCs w:val="22"/>
                <w:lang w:val="en-US"/>
              </w:rPr>
              <w:t>“</w:t>
            </w:r>
            <w:r>
              <w:rPr>
                <w:bCs/>
                <w:sz w:val="22"/>
                <w:szCs w:val="22"/>
                <w:lang w:val="en-US"/>
              </w:rPr>
              <w:t>Arenguhüpet ettevalmistava projekti viivad ellu projektijuht ja arenguekspert, kes kaasavad tööprotsessi koostööpartnereid, sihtrühma esindajaid ja vabatahtlikke.</w:t>
            </w:r>
          </w:p>
          <w:p>
            <w:pPr>
              <w:pStyle w:val="Normal"/>
              <w:rPr>
                <w:bCs/>
                <w:sz w:val="22"/>
                <w:szCs w:val="22"/>
                <w:lang w:val="en-US"/>
              </w:rPr>
            </w:pPr>
            <w:r>
              <w:rPr>
                <w:bCs/>
                <w:sz w:val="22"/>
                <w:szCs w:val="22"/>
                <w:lang w:val="en-US"/>
              </w:rPr>
              <w:t>Projektijuht: koostööpartnerite leidmine ja lepete sõlmimine, sihtrühmade vajaduste väljaselgitamine, meeskonna ja vabatahtlike võrgustiku loomine, dokumenteerimine ja aruandlus;</w:t>
            </w:r>
          </w:p>
          <w:p>
            <w:pPr>
              <w:pStyle w:val="Normal"/>
              <w:rPr>
                <w:bCs/>
                <w:sz w:val="22"/>
                <w:szCs w:val="22"/>
                <w:lang w:val="en-US"/>
              </w:rPr>
            </w:pPr>
            <w:r>
              <w:rPr>
                <w:bCs/>
                <w:sz w:val="22"/>
                <w:szCs w:val="22"/>
                <w:lang w:val="en-US"/>
              </w:rPr>
              <w:t xml:space="preserve">Arenguekspert: projektijuhi nõustamine vajaduste kaardistamisel, andmete analüüsimisel. Soovituste andmine arenguhüppe jaoks vajalikeks tegevusteks ja septembris 2020 esitatava rahvusvahelise projekti koostamiseks. </w:t>
            </w:r>
          </w:p>
          <w:p>
            <w:pPr>
              <w:pStyle w:val="Normal"/>
              <w:ind w:left="57" w:right="57" w:hanging="0"/>
              <w:jc w:val="both"/>
              <w:rPr>
                <w:bCs/>
                <w:sz w:val="22"/>
                <w:szCs w:val="22"/>
                <w:lang w:val="en-US"/>
              </w:rPr>
            </w:pPr>
            <w:r>
              <w:rPr>
                <w:bCs/>
                <w:sz w:val="22"/>
                <w:szCs w:val="22"/>
                <w:lang w:val="en-US"/>
              </w:rPr>
              <w:t>Vabatahtlikud partnerid (toitlustusettevõtted): projektijuhiga koos ideede läbikatsumine.”</w:t>
            </w:r>
          </w:p>
          <w:p>
            <w:pPr>
              <w:pStyle w:val="Normal"/>
              <w:ind w:left="57" w:right="57" w:hanging="0"/>
              <w:jc w:val="both"/>
              <w:rPr>
                <w:bCs/>
                <w:sz w:val="22"/>
                <w:szCs w:val="22"/>
                <w:lang w:val="en-US"/>
              </w:rPr>
            </w:pPr>
            <w:r>
              <w:rPr>
                <w:bCs/>
                <w:sz w:val="22"/>
                <w:szCs w:val="22"/>
                <w:lang w:val="en-US"/>
              </w:rPr>
              <w:t>Täpselt nõnda sihipäraselt töö ka toimus. Koostöö projektijuhi ja arengueksperdi vahel oli regulaarne ning toimus coachingu vormis, koostöö oli väga tõhus ning tänu sellele ei jäädud tähtaegadele jalgu. Samuti liikus kogu tegevuprotsess võetud peaeesmärgi poole, vaatamata teele tulnud taksitustustele (milleks olid näiteks erinevad arusaamised tõdedest, mille kohta oli eeldus ühisele mõistmisele jõudmise osas). Tänu arengueksperdile sai võimalikuks vajaliku meeskonna moodustamine järgmiseks projektifaasiks.</w:t>
            </w:r>
          </w:p>
        </w:tc>
      </w:tr>
    </w:tbl>
    <w:p>
      <w:pPr>
        <w:pStyle w:val="Normal"/>
        <w:rPr>
          <w:sz w:val="22"/>
          <w:szCs w:val="22"/>
        </w:rPr>
      </w:pPr>
      <w:r>
        <w:rPr>
          <w:sz w:val="22"/>
          <w:szCs w:val="22"/>
        </w:rPr>
      </w:r>
    </w:p>
    <w:tbl>
      <w:tblPr>
        <w:tblW w:w="992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1" w:noVBand="1" w:lastRow="0" w:firstColumn="1" w:lastColumn="0" w:noHBand="0" w:val="04a0"/>
      </w:tblPr>
      <w:tblGrid>
        <w:gridCol w:w="7229"/>
        <w:gridCol w:w="2693"/>
      </w:tblGrid>
      <w:tr>
        <w:trPr>
          <w:tblHeader w:val="true"/>
          <w:trHeight w:val="759" w:hRule="atLeast"/>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hanging="0"/>
              <w:rPr/>
            </w:pPr>
            <w:r>
              <w:rPr>
                <w:b/>
                <w:bCs/>
                <w:sz w:val="22"/>
                <w:szCs w:val="22"/>
              </w:rPr>
              <w:t xml:space="preserve">III Tegevus/kulu </w:t>
            </w:r>
            <w:r>
              <w:rPr>
                <w:bCs/>
                <w:i/>
                <w:sz w:val="22"/>
                <w:szCs w:val="22"/>
              </w:rPr>
              <w:t>(nimetusena)</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contextualSpacing/>
              <w:rPr>
                <w:b/>
                <w:b/>
                <w:bCs/>
                <w:sz w:val="22"/>
                <w:szCs w:val="22"/>
              </w:rPr>
            </w:pPr>
            <w:r>
              <w:rPr>
                <w:b/>
                <w:bCs/>
                <w:sz w:val="22"/>
                <w:szCs w:val="22"/>
              </w:rPr>
              <w:t>Kasutatud KÜSKi toetus</w:t>
            </w:r>
          </w:p>
          <w:p>
            <w:pPr>
              <w:pStyle w:val="Normal"/>
              <w:spacing w:before="120" w:after="120"/>
              <w:contextualSpacing/>
              <w:rPr/>
            </w:pPr>
            <w:r>
              <w:rPr>
                <w:bCs/>
                <w:sz w:val="22"/>
                <w:szCs w:val="22"/>
              </w:rPr>
              <w:t>(</w:t>
            </w:r>
            <w:r>
              <w:rPr>
                <w:bCs/>
                <w:i/>
                <w:sz w:val="22"/>
                <w:szCs w:val="22"/>
              </w:rPr>
              <w:t>summa kokku)</w:t>
            </w:r>
          </w:p>
        </w:tc>
      </w:tr>
      <w:tr>
        <w:trPr>
          <w:tblHeader w:val="true"/>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rPr>
            </w:pPr>
            <w:r>
              <w:rPr>
                <w:bCs/>
                <w:sz w:val="22"/>
                <w:szCs w:val="22"/>
              </w:rPr>
              <w:t>1. Coaching kulud – Vaikus OÜ</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Cs/>
                <w:sz w:val="22"/>
                <w:szCs w:val="22"/>
              </w:rPr>
            </w:pPr>
            <w:r>
              <w:rPr>
                <w:bCs/>
                <w:sz w:val="22"/>
                <w:szCs w:val="22"/>
              </w:rPr>
              <w:t>1200,00</w:t>
            </w:r>
          </w:p>
        </w:tc>
      </w:tr>
      <w:tr>
        <w:trPr>
          <w:tblHeader w:val="true"/>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rPr>
            </w:pPr>
            <w:r>
              <w:rPr>
                <w:bCs/>
                <w:sz w:val="22"/>
                <w:szCs w:val="22"/>
              </w:rPr>
              <w:t>2. Konsultatsioonikulud – SA Eesti Hollandi Heategevusfond</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Cs/>
                <w:sz w:val="22"/>
                <w:szCs w:val="22"/>
              </w:rPr>
            </w:pPr>
            <w:r>
              <w:rPr>
                <w:bCs/>
                <w:sz w:val="22"/>
                <w:szCs w:val="22"/>
              </w:rPr>
              <w:t xml:space="preserve">  </w:t>
            </w:r>
            <w:r>
              <w:rPr>
                <w:bCs/>
                <w:sz w:val="22"/>
                <w:szCs w:val="22"/>
              </w:rPr>
              <w:t>550,00</w:t>
            </w:r>
          </w:p>
        </w:tc>
      </w:tr>
      <w:tr>
        <w:trPr>
          <w:tblHeader w:val="true"/>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rPr>
            </w:pPr>
            <w:r>
              <w:rPr>
                <w:bCs/>
                <w:sz w:val="22"/>
                <w:szCs w:val="22"/>
              </w:rPr>
              <w:t>3. Projektijuhi töötasu koos maksudega</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Cs/>
                <w:sz w:val="22"/>
                <w:szCs w:val="22"/>
              </w:rPr>
            </w:pPr>
            <w:r>
              <w:rPr>
                <w:bCs/>
                <w:sz w:val="22"/>
                <w:szCs w:val="22"/>
              </w:rPr>
              <w:t>1899,96</w:t>
            </w:r>
          </w:p>
        </w:tc>
      </w:tr>
      <w:tr>
        <w:trPr>
          <w:tblHeader w:val="true"/>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rPr>
            </w:pPr>
            <w:r>
              <w:rPr>
                <w:bCs/>
                <w:sz w:val="22"/>
                <w:szCs w:val="22"/>
              </w:rPr>
              <w:t>4. Projektijuhi lähetuskulud</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Cs/>
                <w:sz w:val="22"/>
                <w:szCs w:val="22"/>
              </w:rPr>
            </w:pPr>
            <w:r>
              <w:rPr>
                <w:bCs/>
                <w:sz w:val="22"/>
                <w:szCs w:val="22"/>
              </w:rPr>
              <w:t xml:space="preserve">  </w:t>
            </w:r>
            <w:r>
              <w:rPr>
                <w:bCs/>
                <w:sz w:val="22"/>
                <w:szCs w:val="22"/>
              </w:rPr>
              <w:t>231,78</w:t>
            </w:r>
          </w:p>
        </w:tc>
      </w:tr>
      <w:tr>
        <w:trPr>
          <w:tblHeader w:val="true"/>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rPr>
            </w:pPr>
            <w:r>
              <w:rPr>
                <w:bCs/>
                <w:sz w:val="22"/>
                <w:szCs w:val="22"/>
              </w:rPr>
              <w:t>5. Raamatupidamiskulud – Merikell OÜ</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Cs/>
                <w:sz w:val="22"/>
                <w:szCs w:val="22"/>
              </w:rPr>
            </w:pPr>
            <w:r>
              <w:rPr>
                <w:bCs/>
                <w:sz w:val="22"/>
                <w:szCs w:val="22"/>
              </w:rPr>
              <w:t xml:space="preserve">  </w:t>
            </w:r>
            <w:r>
              <w:rPr>
                <w:bCs/>
                <w:sz w:val="22"/>
                <w:szCs w:val="22"/>
              </w:rPr>
              <w:t>100,00</w:t>
            </w:r>
          </w:p>
        </w:tc>
      </w:tr>
      <w:tr>
        <w:trPr>
          <w:tblHeader w:val="true"/>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bCs/>
                <w:sz w:val="22"/>
                <w:szCs w:val="22"/>
              </w:rPr>
            </w:pPr>
            <w:r>
              <w:rPr>
                <w:bCs/>
                <w:sz w:val="22"/>
                <w:szCs w:val="22"/>
              </w:rPr>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Cs/>
                <w:sz w:val="22"/>
                <w:szCs w:val="22"/>
              </w:rPr>
            </w:pPr>
            <w:r>
              <w:rPr>
                <w:bCs/>
                <w:sz w:val="22"/>
                <w:szCs w:val="22"/>
              </w:rPr>
            </w:r>
          </w:p>
        </w:tc>
      </w:tr>
      <w:tr>
        <w:trPr>
          <w:tblHeader w:val="true"/>
          <w:trHeight w:val="71" w:hRule="atLeast"/>
        </w:trPr>
        <w:tc>
          <w:tcPr>
            <w:tcW w:w="7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tcPr>
          <w:p>
            <w:pPr>
              <w:pStyle w:val="Normal"/>
              <w:spacing w:before="120" w:after="120"/>
              <w:ind w:left="57" w:right="57" w:hanging="0"/>
              <w:jc w:val="right"/>
              <w:rPr>
                <w:b/>
                <w:b/>
                <w:bCs/>
                <w:sz w:val="22"/>
                <w:szCs w:val="22"/>
              </w:rPr>
            </w:pPr>
            <w:r>
              <w:rPr>
                <w:b/>
                <w:bCs/>
                <w:sz w:val="22"/>
                <w:szCs w:val="22"/>
              </w:rPr>
              <w:t>KOKKU:</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bCs/>
                <w:sz w:val="22"/>
                <w:szCs w:val="22"/>
              </w:rPr>
            </w:pPr>
            <w:r>
              <w:rPr>
                <w:b/>
                <w:bCs/>
                <w:sz w:val="22"/>
                <w:szCs w:val="22"/>
              </w:rPr>
              <w:t>3981,74</w:t>
            </w:r>
          </w:p>
        </w:tc>
      </w:tr>
    </w:tbl>
    <w:p>
      <w:pPr>
        <w:pStyle w:val="Normal"/>
        <w:rPr>
          <w:sz w:val="22"/>
          <w:szCs w:val="22"/>
        </w:rPr>
      </w:pPr>
      <w:r>
        <w:rPr>
          <w:sz w:val="22"/>
          <w:szCs w:val="22"/>
        </w:rPr>
      </w:r>
    </w:p>
    <w:tbl>
      <w:tblPr>
        <w:tblW w:w="992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7" w:type="dxa"/>
        </w:tblCellMar>
        <w:tblLook w:firstRow="0" w:noVBand="0" w:lastRow="0" w:firstColumn="0" w:lastColumn="0" w:noHBand="0" w:val="0000"/>
      </w:tblPr>
      <w:tblGrid>
        <w:gridCol w:w="9923"/>
      </w:tblGrid>
      <w:tr>
        <w:trPr>
          <w:trHeight w:val="416" w:hRule="atLeast"/>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right="57" w:hanging="0"/>
              <w:rPr>
                <w:b/>
                <w:b/>
                <w:sz w:val="22"/>
                <w:szCs w:val="22"/>
              </w:rPr>
            </w:pPr>
            <w:r>
              <w:rPr>
                <w:b/>
                <w:sz w:val="22"/>
                <w:szCs w:val="22"/>
              </w:rPr>
              <w:t>IV Milliseid samme teete järgmisena, et jõuda arenguhüppeni või äriplaani elluviimiseni?</w:t>
            </w:r>
          </w:p>
        </w:tc>
      </w:tr>
      <w:tr>
        <w:trPr>
          <w:trHeight w:val="1134" w:hRule="atLeast"/>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57" w:hanging="0"/>
              <w:jc w:val="both"/>
              <w:rPr>
                <w:sz w:val="22"/>
                <w:szCs w:val="22"/>
                <w:lang w:val="en-US"/>
              </w:rPr>
            </w:pPr>
            <w:r>
              <w:rPr>
                <w:sz w:val="22"/>
                <w:szCs w:val="22"/>
                <w:lang w:val="en-US"/>
              </w:rPr>
              <w:t>Loodud on Sotsiaalrestorani ThinkTank, kes on projektijuhi meeskond Sotsiaalrestorani loomisel. Koos nimetatud ThinkTankiga tehakse järgmised sammud.</w:t>
            </w:r>
          </w:p>
          <w:p>
            <w:pPr>
              <w:pStyle w:val="Normal"/>
              <w:ind w:right="57" w:hanging="0"/>
              <w:jc w:val="both"/>
              <w:rPr>
                <w:sz w:val="22"/>
                <w:szCs w:val="22"/>
                <w:lang w:val="en-US"/>
              </w:rPr>
            </w:pPr>
            <w:r>
              <w:rPr>
                <w:sz w:val="22"/>
                <w:szCs w:val="22"/>
                <w:lang w:val="en-US"/>
              </w:rPr>
              <w:t>Järgmised sammud on taotlus KÜSK-ile arenguhüpe 2020 vooru (taotluse sisu on tegevuskava Sotsiaalrestorani loomiseks) ning saada sealt positiivne vastus ja vajalik rahastus arenguhüppe tegevusplaani elluviimiseks, samuti otsitakse toetust ning rahastust teistest allikatest.</w:t>
            </w:r>
          </w:p>
          <w:p>
            <w:pPr>
              <w:pStyle w:val="Normal"/>
              <w:ind w:right="57" w:hanging="0"/>
              <w:jc w:val="both"/>
              <w:rPr>
                <w:sz w:val="22"/>
                <w:szCs w:val="22"/>
                <w:lang w:val="en-US"/>
              </w:rPr>
            </w:pPr>
            <w:r>
              <w:rPr>
                <w:sz w:val="22"/>
                <w:szCs w:val="22"/>
                <w:lang w:val="en-US"/>
              </w:rPr>
              <w:t>Asutakse läbirääkimisi pidama Sotsiaalrestorani asukoha rentimise või ostmise asjus. Asukoht saab olema Tallinna keskklinn (Telliskivi, vanalinn).</w:t>
            </w:r>
          </w:p>
        </w:tc>
      </w:tr>
    </w:tbl>
    <w:p>
      <w:pPr>
        <w:pStyle w:val="Normal"/>
        <w:rPr>
          <w:vanish/>
          <w:sz w:val="22"/>
          <w:szCs w:val="22"/>
        </w:rPr>
      </w:pPr>
      <w:r>
        <w:rPr>
          <w:vanish/>
          <w:sz w:val="22"/>
          <w:szCs w:val="22"/>
        </w:rPr>
      </w:r>
    </w:p>
    <w:p>
      <w:pPr>
        <w:pStyle w:val="Normal"/>
        <w:rPr>
          <w:sz w:val="22"/>
          <w:szCs w:val="22"/>
        </w:rPr>
      </w:pPr>
      <w:r>
        <w:rPr>
          <w:sz w:val="22"/>
          <w:szCs w:val="22"/>
        </w:rPr>
      </w:r>
    </w:p>
    <w:tbl>
      <w:tblPr>
        <w:tblW w:w="992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7" w:type="dxa"/>
        </w:tblCellMar>
        <w:tblLook w:firstRow="0" w:noVBand="0" w:lastRow="0" w:firstColumn="0" w:lastColumn="0" w:noHBand="0" w:val="0000"/>
      </w:tblPr>
      <w:tblGrid>
        <w:gridCol w:w="8531"/>
        <w:gridCol w:w="1391"/>
      </w:tblGrid>
      <w:tr>
        <w:trPr>
          <w:trHeight w:val="567" w:hRule="atLeast"/>
        </w:trPr>
        <w:tc>
          <w:tcPr>
            <w:tcW w:w="8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right="57" w:hanging="0"/>
              <w:jc w:val="both"/>
              <w:rPr>
                <w:b/>
                <w:b/>
                <w:sz w:val="22"/>
                <w:szCs w:val="22"/>
              </w:rPr>
            </w:pPr>
            <w:r>
              <w:rPr>
                <w:b/>
                <w:sz w:val="22"/>
                <w:szCs w:val="22"/>
              </w:rPr>
              <w:t>V Kontroll nimekiri</w:t>
            </w:r>
          </w:p>
        </w:tc>
        <w:tc>
          <w:tcPr>
            <w:tcW w:w="1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tcMar>
              <w:left w:w="-5" w:type="dxa"/>
              <w:right w:w="0" w:type="dxa"/>
            </w:tcMar>
            <w:vAlign w:val="center"/>
          </w:tcPr>
          <w:p>
            <w:pPr>
              <w:pStyle w:val="Normal"/>
              <w:spacing w:before="120" w:after="120"/>
              <w:ind w:left="57" w:right="57" w:firstLine="26"/>
              <w:jc w:val="center"/>
              <w:rPr>
                <w:b/>
                <w:b/>
                <w:sz w:val="22"/>
                <w:szCs w:val="22"/>
              </w:rPr>
            </w:pPr>
            <w:r>
              <w:rPr>
                <w:b/>
                <w:sz w:val="22"/>
                <w:szCs w:val="22"/>
              </w:rPr>
              <w:t>Jah/Ei</w:t>
            </w:r>
          </w:p>
        </w:tc>
      </w:tr>
      <w:tr>
        <w:trPr>
          <w:trHeight w:val="567" w:hRule="atLeast"/>
        </w:trPr>
        <w:tc>
          <w:tcPr>
            <w:tcW w:w="8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right="57" w:hanging="0"/>
              <w:rPr>
                <w:sz w:val="22"/>
                <w:szCs w:val="22"/>
              </w:rPr>
            </w:pPr>
            <w:r>
              <w:rPr>
                <w:sz w:val="22"/>
                <w:szCs w:val="22"/>
              </w:rPr>
              <w:t xml:space="preserve">Kinnitan, et  projekti dokumentatsioon (nii sisutegevusega seonduv kui raamatupidamine) </w:t>
              <w:br/>
              <w:t>on ühtsena süstematiseeritult säilitatud</w:t>
            </w:r>
          </w:p>
        </w:tc>
        <w:tc>
          <w:tcPr>
            <w:tcW w:w="1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vAlign w:val="center"/>
          </w:tcPr>
          <w:p>
            <w:pPr>
              <w:pStyle w:val="Normal"/>
              <w:ind w:left="-26" w:right="-26" w:firstLine="26"/>
              <w:jc w:val="center"/>
              <w:rPr>
                <w:b/>
                <w:b/>
                <w:sz w:val="22"/>
                <w:szCs w:val="22"/>
              </w:rPr>
            </w:pPr>
            <w:r>
              <w:rPr>
                <w:b/>
                <w:sz w:val="22"/>
                <w:szCs w:val="22"/>
              </w:rPr>
              <w:t>Jah</w:t>
            </w:r>
          </w:p>
        </w:tc>
      </w:tr>
      <w:tr>
        <w:trPr>
          <w:trHeight w:val="567" w:hRule="atLeast"/>
        </w:trPr>
        <w:tc>
          <w:tcPr>
            <w:tcW w:w="8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right="57" w:hanging="0"/>
              <w:rPr>
                <w:sz w:val="22"/>
                <w:szCs w:val="22"/>
              </w:rPr>
            </w:pPr>
            <w:r>
              <w:rPr>
                <w:sz w:val="22"/>
                <w:szCs w:val="22"/>
              </w:rPr>
              <w:t xml:space="preserve">Kinnitan, et projekti info (nimi, eesmärk, toetussumma)  on (koos viitega rahastajale) </w:t>
              <w:br/>
              <w:t>kodulehel kajastatud</w:t>
            </w:r>
          </w:p>
        </w:tc>
        <w:tc>
          <w:tcPr>
            <w:tcW w:w="1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vAlign w:val="center"/>
          </w:tcPr>
          <w:p>
            <w:pPr>
              <w:pStyle w:val="Normal"/>
              <w:ind w:left="-26" w:right="-26" w:firstLine="26"/>
              <w:jc w:val="center"/>
              <w:rPr>
                <w:b/>
                <w:b/>
                <w:sz w:val="22"/>
                <w:szCs w:val="22"/>
              </w:rPr>
            </w:pPr>
            <w:r>
              <w:rPr>
                <w:b/>
                <w:sz w:val="22"/>
                <w:szCs w:val="22"/>
              </w:rPr>
              <w:t>Jah</w:t>
            </w:r>
          </w:p>
        </w:tc>
      </w:tr>
      <w:tr>
        <w:trPr>
          <w:trHeight w:val="567" w:hRule="atLeast"/>
        </w:trPr>
        <w:tc>
          <w:tcPr>
            <w:tcW w:w="8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E2F3" w:themeFill="accent1" w:themeFillTint="33" w:val="clear"/>
            <w:vAlign w:val="center"/>
          </w:tcPr>
          <w:p>
            <w:pPr>
              <w:pStyle w:val="Normal"/>
              <w:spacing w:before="120" w:after="120"/>
              <w:ind w:left="57" w:right="57" w:hanging="0"/>
              <w:rPr>
                <w:sz w:val="22"/>
                <w:szCs w:val="22"/>
              </w:rPr>
            </w:pPr>
            <w:r>
              <w:rPr>
                <w:sz w:val="22"/>
                <w:szCs w:val="22"/>
              </w:rPr>
              <w:t>Kinnitan, et koos aruandega on samas digiümbrikus esitatud ka projekti tulemusena valminud tegevuskava, äriplaani või arenguprogrammi</w:t>
            </w:r>
          </w:p>
        </w:tc>
        <w:tc>
          <w:tcPr>
            <w:tcW w:w="1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vAlign w:val="center"/>
          </w:tcPr>
          <w:p>
            <w:pPr>
              <w:pStyle w:val="Normal"/>
              <w:ind w:left="-26" w:right="-26" w:firstLine="26"/>
              <w:jc w:val="center"/>
              <w:rPr>
                <w:b/>
                <w:b/>
                <w:sz w:val="22"/>
                <w:szCs w:val="22"/>
              </w:rPr>
            </w:pPr>
            <w:r>
              <w:rPr>
                <w:b/>
                <w:sz w:val="22"/>
                <w:szCs w:val="22"/>
              </w:rPr>
              <w:t>Jah</w:t>
            </w:r>
          </w:p>
        </w:tc>
      </w:tr>
    </w:tbl>
    <w:p>
      <w:pPr>
        <w:pStyle w:val="Normal"/>
        <w:rPr>
          <w:sz w:val="22"/>
          <w:szCs w:val="22"/>
        </w:rPr>
      </w:pPr>
      <w:r>
        <w:rPr>
          <w:sz w:val="22"/>
          <w:szCs w:val="22"/>
        </w:rPr>
        <w:t xml:space="preserve"> </w:t>
      </w:r>
    </w:p>
    <w:tbl>
      <w:tblPr>
        <w:tblStyle w:val="Kontuurtabel"/>
        <w:tblW w:w="9923" w:type="dxa"/>
        <w:jc w:val="left"/>
        <w:tblInd w:w="0" w:type="dxa"/>
        <w:tblCellMar>
          <w:top w:w="0" w:type="dxa"/>
          <w:left w:w="108" w:type="dxa"/>
          <w:bottom w:w="0" w:type="dxa"/>
          <w:right w:w="108" w:type="dxa"/>
        </w:tblCellMar>
        <w:tblLook w:firstRow="1" w:noVBand="1" w:lastRow="0" w:firstColumn="1" w:lastColumn="0" w:noHBand="0" w:val="04a0"/>
      </w:tblPr>
      <w:tblGrid>
        <w:gridCol w:w="3109"/>
        <w:gridCol w:w="6813"/>
      </w:tblGrid>
      <w:tr>
        <w:trPr>
          <w:trHeight w:val="284" w:hRule="atLeast"/>
        </w:trPr>
        <w:tc>
          <w:tcPr>
            <w:tcW w:w="9922" w:type="dxa"/>
            <w:gridSpan w:val="2"/>
            <w:tcBorders/>
            <w:shd w:color="auto" w:fill="D0CECE" w:themeFill="background2" w:themeFillShade="e6" w:val="clear"/>
          </w:tcPr>
          <w:p>
            <w:pPr>
              <w:pStyle w:val="Normal"/>
              <w:spacing w:before="120" w:after="120"/>
              <w:ind w:left="57" w:right="57" w:hanging="0"/>
              <w:rPr>
                <w:b/>
                <w:b/>
                <w:sz w:val="22"/>
                <w:szCs w:val="22"/>
              </w:rPr>
            </w:pPr>
            <w:r>
              <w:rPr>
                <w:b/>
                <w:sz w:val="22"/>
                <w:szCs w:val="22"/>
              </w:rPr>
              <w:t xml:space="preserve"> </w:t>
            </w:r>
            <w:r>
              <w:rPr>
                <w:b/>
                <w:sz w:val="22"/>
                <w:szCs w:val="22"/>
              </w:rPr>
              <w:t>Allkirjastatud digitaalselt:</w:t>
            </w:r>
          </w:p>
        </w:tc>
      </w:tr>
      <w:tr>
        <w:trPr>
          <w:trHeight w:val="284" w:hRule="atLeast"/>
        </w:trPr>
        <w:tc>
          <w:tcPr>
            <w:tcW w:w="3109" w:type="dxa"/>
            <w:tcBorders/>
            <w:shd w:fill="auto" w:val="clear"/>
            <w:vAlign w:val="center"/>
          </w:tcPr>
          <w:p>
            <w:pPr>
              <w:pStyle w:val="Normal"/>
              <w:spacing w:before="120" w:after="120"/>
              <w:ind w:left="57" w:right="57" w:hanging="0"/>
              <w:jc w:val="right"/>
              <w:rPr>
                <w:b/>
                <w:b/>
                <w:sz w:val="22"/>
                <w:szCs w:val="22"/>
              </w:rPr>
            </w:pPr>
            <w:r>
              <w:rPr>
                <w:b/>
                <w:sz w:val="22"/>
                <w:szCs w:val="22"/>
              </w:rPr>
              <w:t>Allkirjaõigusliku isiku nimi:</w:t>
            </w:r>
          </w:p>
        </w:tc>
        <w:tc>
          <w:tcPr>
            <w:tcW w:w="6813" w:type="dxa"/>
            <w:tcBorders/>
            <w:shd w:fill="auto" w:val="clear"/>
            <w:vAlign w:val="center"/>
          </w:tcPr>
          <w:p>
            <w:pPr>
              <w:pStyle w:val="Normal"/>
              <w:spacing w:before="120" w:after="120"/>
              <w:ind w:left="57" w:right="57" w:hanging="0"/>
              <w:rPr>
                <w:sz w:val="22"/>
                <w:szCs w:val="22"/>
              </w:rPr>
            </w:pPr>
            <w:r>
              <w:rPr>
                <w:sz w:val="22"/>
                <w:szCs w:val="22"/>
              </w:rPr>
            </w:r>
          </w:p>
        </w:tc>
      </w:tr>
      <w:tr>
        <w:trPr>
          <w:trHeight w:val="284" w:hRule="atLeast"/>
        </w:trPr>
        <w:tc>
          <w:tcPr>
            <w:tcW w:w="3109" w:type="dxa"/>
            <w:tcBorders/>
            <w:shd w:fill="auto" w:val="clear"/>
            <w:vAlign w:val="center"/>
          </w:tcPr>
          <w:p>
            <w:pPr>
              <w:pStyle w:val="Normal"/>
              <w:spacing w:before="120" w:after="120"/>
              <w:ind w:left="57" w:right="57" w:hanging="0"/>
              <w:jc w:val="right"/>
              <w:rPr>
                <w:b/>
                <w:b/>
                <w:sz w:val="22"/>
                <w:szCs w:val="22"/>
              </w:rPr>
            </w:pPr>
            <w:r>
              <w:rPr>
                <w:b/>
                <w:sz w:val="22"/>
                <w:szCs w:val="22"/>
              </w:rPr>
              <w:t>Amet:</w:t>
            </w:r>
          </w:p>
        </w:tc>
        <w:tc>
          <w:tcPr>
            <w:tcW w:w="6813" w:type="dxa"/>
            <w:tcBorders/>
            <w:shd w:fill="auto" w:val="clear"/>
            <w:vAlign w:val="center"/>
          </w:tcPr>
          <w:p>
            <w:pPr>
              <w:pStyle w:val="Normal"/>
              <w:spacing w:before="120" w:after="120"/>
              <w:ind w:left="57" w:right="57" w:hanging="0"/>
              <w:rPr>
                <w:sz w:val="22"/>
                <w:szCs w:val="22"/>
              </w:rPr>
            </w:pPr>
            <w:r>
              <w:rPr>
                <w:sz w:val="22"/>
                <w:szCs w:val="22"/>
              </w:rPr>
            </w:r>
          </w:p>
        </w:tc>
      </w:tr>
    </w:tbl>
    <w:p>
      <w:pPr>
        <w:pStyle w:val="Normal"/>
        <w:rPr/>
      </w:pPr>
      <w:r>
        <w:rPr/>
      </w:r>
    </w:p>
    <w:sectPr>
      <w:headerReference w:type="default" r:id="rId5"/>
      <w:headerReference w:type="first" r:id="rId6"/>
      <w:footerReference w:type="default" r:id="rId7"/>
      <w:footerReference w:type="first" r:id="rId8"/>
      <w:type w:val="nextPage"/>
      <w:pgSz w:w="11906" w:h="16838"/>
      <w:pgMar w:left="1134" w:right="567" w:header="709" w:top="992" w:footer="709" w:bottom="992" w:gutter="0"/>
      <w:pgNumType w:start="0" w:fmt="decimal"/>
      <w:formProt w:val="false"/>
      <w:titlePg/>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
      <w:lvlJc w:val="right"/>
      <w:pPr>
        <w:tabs>
          <w:tab w:val="num" w:pos="720"/>
        </w:tabs>
        <w:ind w:left="114" w:hanging="114"/>
      </w:pPr>
      <w:rPr>
        <w:sz w:val="22"/>
        <w:b/>
        <w:rFonts w:ascii="Times New Roman" w:hAnsi="Times New Roman"/>
        <w:color w:val="00000A"/>
      </w:rPr>
    </w:lvl>
    <w:lvl w:ilvl="1">
      <w:start w:val="1"/>
      <w:numFmt w:val="lowerLetter"/>
      <w:lvlText w:val="%2."/>
      <w:lvlJc w:val="left"/>
      <w:pPr>
        <w:tabs>
          <w:tab w:val="num" w:pos="1080"/>
        </w:tabs>
        <w:ind w:left="1494" w:hanging="360"/>
      </w:pPr>
    </w:lvl>
    <w:lvl w:ilvl="2">
      <w:start w:val="1"/>
      <w:numFmt w:val="lowerRoman"/>
      <w:lvlText w:val="%3."/>
      <w:lvlJc w:val="right"/>
      <w:pPr>
        <w:tabs>
          <w:tab w:val="num" w:pos="1440"/>
        </w:tabs>
        <w:ind w:left="2214" w:hanging="180"/>
      </w:pPr>
    </w:lvl>
    <w:lvl w:ilvl="3">
      <w:start w:val="1"/>
      <w:numFmt w:val="decimal"/>
      <w:lvlText w:val="%4."/>
      <w:lvlJc w:val="left"/>
      <w:pPr>
        <w:tabs>
          <w:tab w:val="num" w:pos="1800"/>
        </w:tabs>
        <w:ind w:left="2934" w:hanging="360"/>
      </w:pPr>
    </w:lvl>
    <w:lvl w:ilvl="4">
      <w:start w:val="1"/>
      <w:numFmt w:val="lowerLetter"/>
      <w:lvlText w:val="%5."/>
      <w:lvlJc w:val="left"/>
      <w:pPr>
        <w:tabs>
          <w:tab w:val="num" w:pos="2160"/>
        </w:tabs>
        <w:ind w:left="3654" w:hanging="360"/>
      </w:pPr>
    </w:lvl>
    <w:lvl w:ilvl="5">
      <w:start w:val="1"/>
      <w:numFmt w:val="lowerRoman"/>
      <w:lvlText w:val="%6."/>
      <w:lvlJc w:val="right"/>
      <w:pPr>
        <w:tabs>
          <w:tab w:val="num" w:pos="2520"/>
        </w:tabs>
        <w:ind w:left="4374" w:hanging="180"/>
      </w:pPr>
    </w:lvl>
    <w:lvl w:ilvl="6">
      <w:start w:val="1"/>
      <w:numFmt w:val="decimal"/>
      <w:lvlText w:val="%7."/>
      <w:lvlJc w:val="left"/>
      <w:pPr>
        <w:tabs>
          <w:tab w:val="num" w:pos="2880"/>
        </w:tabs>
        <w:ind w:left="5094" w:hanging="360"/>
      </w:pPr>
    </w:lvl>
    <w:lvl w:ilvl="7">
      <w:start w:val="1"/>
      <w:numFmt w:val="lowerLetter"/>
      <w:lvlText w:val="%8."/>
      <w:lvlJc w:val="left"/>
      <w:pPr>
        <w:tabs>
          <w:tab w:val="num" w:pos="3240"/>
        </w:tabs>
        <w:ind w:left="5814" w:hanging="360"/>
      </w:pPr>
    </w:lvl>
    <w:lvl w:ilvl="8">
      <w:start w:val="1"/>
      <w:numFmt w:val="lowerRoman"/>
      <w:lvlText w:val="%9."/>
      <w:lvlJc w:val="right"/>
      <w:pPr>
        <w:tabs>
          <w:tab w:val="num" w:pos="3600"/>
        </w:tabs>
        <w:ind w:left="6534" w:hanging="180"/>
      </w:pPr>
    </w:lvl>
  </w:abstractNum>
  <w:abstractNum w:abstractNumId="2">
    <w:lvl w:ilvl="0">
      <w:start w:val="1"/>
      <w:numFmt w:val="bullet"/>
      <w:lvlText w:val=""/>
      <w:lvlJc w:val="left"/>
      <w:pPr>
        <w:tabs>
          <w:tab w:val="num" w:pos="777"/>
        </w:tabs>
        <w:ind w:left="777" w:hanging="360"/>
      </w:pPr>
      <w:rPr>
        <w:rFonts w:ascii="Symbol" w:hAnsi="Symbol" w:cs="Symbol" w:hint="default"/>
        <w:sz w:val="22"/>
        <w:rFonts w:cs="Symbol"/>
      </w:rPr>
    </w:lvl>
    <w:lvl w:ilvl="1">
      <w:start w:val="1"/>
      <w:numFmt w:val="bullet"/>
      <w:lvlText w:val="◦"/>
      <w:lvlJc w:val="left"/>
      <w:pPr>
        <w:tabs>
          <w:tab w:val="num" w:pos="1137"/>
        </w:tabs>
        <w:ind w:left="1137" w:hanging="360"/>
      </w:pPr>
      <w:rPr>
        <w:rFonts w:ascii="OpenSymbol" w:hAnsi="OpenSymbol" w:cs="OpenSymbol" w:hint="default"/>
        <w:rFonts w:cs="OpenSymbol"/>
      </w:rPr>
    </w:lvl>
    <w:lvl w:ilvl="2">
      <w:start w:val="1"/>
      <w:numFmt w:val="bullet"/>
      <w:lvlText w:val="▪"/>
      <w:lvlJc w:val="left"/>
      <w:pPr>
        <w:tabs>
          <w:tab w:val="num" w:pos="1497"/>
        </w:tabs>
        <w:ind w:left="1497" w:hanging="360"/>
      </w:pPr>
      <w:rPr>
        <w:rFonts w:ascii="OpenSymbol" w:hAnsi="OpenSymbol" w:cs="OpenSymbol" w:hint="default"/>
        <w:rFonts w:cs="OpenSymbol"/>
      </w:rPr>
    </w:lvl>
    <w:lvl w:ilvl="3">
      <w:start w:val="1"/>
      <w:numFmt w:val="bullet"/>
      <w:lvlText w:val=""/>
      <w:lvlJc w:val="left"/>
      <w:pPr>
        <w:tabs>
          <w:tab w:val="num" w:pos="1857"/>
        </w:tabs>
        <w:ind w:left="1857" w:hanging="360"/>
      </w:pPr>
      <w:rPr>
        <w:rFonts w:ascii="Symbol" w:hAnsi="Symbol" w:cs="Symbol" w:hint="default"/>
        <w:rFonts w:cs="Symbol"/>
      </w:rPr>
    </w:lvl>
    <w:lvl w:ilvl="4">
      <w:start w:val="1"/>
      <w:numFmt w:val="bullet"/>
      <w:lvlText w:val="◦"/>
      <w:lvlJc w:val="left"/>
      <w:pPr>
        <w:tabs>
          <w:tab w:val="num" w:pos="2217"/>
        </w:tabs>
        <w:ind w:left="2217" w:hanging="360"/>
      </w:pPr>
      <w:rPr>
        <w:rFonts w:ascii="OpenSymbol" w:hAnsi="OpenSymbol" w:cs="OpenSymbol" w:hint="default"/>
        <w:rFonts w:cs="OpenSymbol"/>
      </w:rPr>
    </w:lvl>
    <w:lvl w:ilvl="5">
      <w:start w:val="1"/>
      <w:numFmt w:val="bullet"/>
      <w:lvlText w:val="▪"/>
      <w:lvlJc w:val="left"/>
      <w:pPr>
        <w:tabs>
          <w:tab w:val="num" w:pos="2577"/>
        </w:tabs>
        <w:ind w:left="2577" w:hanging="360"/>
      </w:pPr>
      <w:rPr>
        <w:rFonts w:ascii="OpenSymbol" w:hAnsi="OpenSymbol" w:cs="OpenSymbol" w:hint="default"/>
        <w:rFonts w:cs="OpenSymbol"/>
      </w:rPr>
    </w:lvl>
    <w:lvl w:ilvl="6">
      <w:start w:val="1"/>
      <w:numFmt w:val="bullet"/>
      <w:lvlText w:val=""/>
      <w:lvlJc w:val="left"/>
      <w:pPr>
        <w:tabs>
          <w:tab w:val="num" w:pos="2937"/>
        </w:tabs>
        <w:ind w:left="2937" w:hanging="360"/>
      </w:pPr>
      <w:rPr>
        <w:rFonts w:ascii="Symbol" w:hAnsi="Symbol" w:cs="Symbol" w:hint="default"/>
        <w:rFonts w:cs="Symbol"/>
      </w:rPr>
    </w:lvl>
    <w:lvl w:ilvl="7">
      <w:start w:val="1"/>
      <w:numFmt w:val="bullet"/>
      <w:lvlText w:val="◦"/>
      <w:lvlJc w:val="left"/>
      <w:pPr>
        <w:tabs>
          <w:tab w:val="num" w:pos="3297"/>
        </w:tabs>
        <w:ind w:left="3297" w:hanging="360"/>
      </w:pPr>
      <w:rPr>
        <w:rFonts w:ascii="OpenSymbol" w:hAnsi="OpenSymbol" w:cs="OpenSymbol" w:hint="default"/>
        <w:rFonts w:cs="OpenSymbol"/>
      </w:rPr>
    </w:lvl>
    <w:lvl w:ilvl="8">
      <w:start w:val="1"/>
      <w:numFmt w:val="bullet"/>
      <w:lvlText w:val="▪"/>
      <w:lvlJc w:val="left"/>
      <w:pPr>
        <w:tabs>
          <w:tab w:val="num" w:pos="3657"/>
        </w:tabs>
        <w:ind w:left="3657"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2051"/>
    <w:pPr>
      <w:widowControl/>
      <w:suppressAutoHyphens w:val="true"/>
      <w:bidi w:val="0"/>
      <w:spacing w:before="0" w:after="0"/>
      <w:jc w:val="left"/>
    </w:pPr>
    <w:rPr>
      <w:rFonts w:ascii="Times New Roman" w:hAnsi="Times New Roman" w:eastAsia="Times New Roman" w:cs="Times New Roman"/>
      <w:color w:val="00000A"/>
      <w:kern w:val="0"/>
      <w:sz w:val="20"/>
      <w:szCs w:val="20"/>
      <w:lang w:val="et-EE" w:eastAsia="en-US" w:bidi="ar-SA"/>
    </w:rPr>
  </w:style>
  <w:style w:type="paragraph" w:styleId="Heading1">
    <w:name w:val="Heading 1"/>
    <w:basedOn w:val="Normal"/>
    <w:qFormat/>
    <w:pPr>
      <w:keepNext w:val="true"/>
      <w:spacing w:before="240" w:after="60"/>
      <w:outlineLvl w:val="0"/>
    </w:pPr>
    <w:rPr>
      <w:rFonts w:ascii="Arial" w:hAnsi="Arial"/>
      <w:b/>
      <w:kern w:val="2"/>
      <w:sz w:val="28"/>
      <w:lang w:val="en-GB"/>
    </w:rPr>
  </w:style>
  <w:style w:type="paragraph" w:styleId="Heading2">
    <w:name w:val="Heading 2"/>
    <w:basedOn w:val="Normal"/>
    <w:link w:val="Pealkiri2Mrk"/>
    <w:qFormat/>
    <w:pPr>
      <w:keepNext w:val="true"/>
      <w:outlineLvl w:val="1"/>
    </w:pPr>
    <w:rPr>
      <w:color w:val="000000"/>
      <w:sz w:val="28"/>
      <w:lang w:val="x-none"/>
    </w:rPr>
  </w:style>
  <w:style w:type="paragraph" w:styleId="Heading3">
    <w:name w:val="Heading 3"/>
    <w:basedOn w:val="Normal"/>
    <w:qFormat/>
    <w:pPr>
      <w:keepNext w:val="true"/>
      <w:tabs>
        <w:tab w:val="left" w:pos="-720" w:leader="none"/>
      </w:tabs>
      <w:suppressAutoHyphens w:val="true"/>
      <w:outlineLvl w:val="2"/>
    </w:pPr>
    <w:rPr>
      <w:rFonts w:ascii="Arial" w:hAnsi="Arial"/>
      <w:b/>
      <w:color w:val="000000"/>
      <w:sz w:val="22"/>
      <w:lang w:val="en-GB"/>
    </w:rPr>
  </w:style>
  <w:style w:type="paragraph" w:styleId="Heading4">
    <w:name w:val="Heading 4"/>
    <w:basedOn w:val="Normal"/>
    <w:qFormat/>
    <w:pPr>
      <w:keepNext w:val="true"/>
      <w:outlineLvl w:val="3"/>
    </w:pPr>
    <w:rPr>
      <w:b/>
      <w:bCs/>
      <w:color w:val="000000"/>
      <w:sz w:val="24"/>
    </w:rPr>
  </w:style>
  <w:style w:type="paragraph" w:styleId="Heading5">
    <w:name w:val="Heading 5"/>
    <w:basedOn w:val="Normal"/>
    <w:qFormat/>
    <w:pPr>
      <w:keepNext w:val="true"/>
      <w:outlineLvl w:val="4"/>
    </w:pPr>
    <w:rPr>
      <w:b/>
      <w:bCs/>
    </w:rPr>
  </w:style>
  <w:style w:type="paragraph" w:styleId="Heading6">
    <w:name w:val="Heading 6"/>
    <w:basedOn w:val="Normal"/>
    <w:qFormat/>
    <w:pPr>
      <w:keepNext w:val="true"/>
      <w:outlineLvl w:val="5"/>
    </w:pPr>
    <w:rPr>
      <w:color w:val="000000"/>
      <w:u w:val="single"/>
    </w:rPr>
  </w:style>
  <w:style w:type="paragraph" w:styleId="Heading7">
    <w:name w:val="Heading 7"/>
    <w:basedOn w:val="Normal"/>
    <w:qFormat/>
    <w:pPr>
      <w:keepNext w:val="true"/>
      <w:outlineLvl w:val="6"/>
    </w:pPr>
    <w:rPr>
      <w:b/>
      <w:bCs/>
      <w:color w:val="000000"/>
    </w:rPr>
  </w:style>
  <w:style w:type="character" w:styleId="DefaultParagraphFont" w:default="1">
    <w:name w:val="Default Paragraph Font"/>
    <w:uiPriority w:val="1"/>
    <w:semiHidden/>
    <w:unhideWhenUsed/>
    <w:qFormat/>
    <w:rPr/>
  </w:style>
  <w:style w:type="character" w:styleId="FootnoteCharacters" w:customStyle="1">
    <w:name w:val="Footnote Characters"/>
    <w:semiHidden/>
    <w:qFormat/>
    <w:rPr>
      <w:rFonts w:ascii="Times New Roman" w:hAnsi="Times New Roman"/>
      <w:sz w:val="27"/>
      <w:vertAlign w:val="superscript"/>
      <w:lang w:val="en-US"/>
    </w:rPr>
  </w:style>
  <w:style w:type="character" w:styleId="FootnoteAnchor" w:customStyle="1">
    <w:name w:val="Footnote Anchor"/>
    <w:qFormat/>
    <w:rPr>
      <w:rFonts w:ascii="Times New Roman" w:hAnsi="Times New Roman"/>
      <w:sz w:val="27"/>
      <w:vertAlign w:val="superscript"/>
      <w:lang w:val="en-US"/>
    </w:rPr>
  </w:style>
  <w:style w:type="character" w:styleId="Pagenumber">
    <w:name w:val="page number"/>
    <w:basedOn w:val="DefaultParagraphFont"/>
    <w:qFormat/>
    <w:rPr/>
  </w:style>
  <w:style w:type="character" w:styleId="Internetilink" w:customStyle="1">
    <w:name w:val="Internetilink"/>
    <w:qFormat/>
    <w:rPr>
      <w:color w:val="000080"/>
      <w:u w:val="single"/>
      <w:lang w:val="zxx" w:eastAsia="zxx" w:bidi="zxx"/>
    </w:rPr>
  </w:style>
  <w:style w:type="character" w:styleId="Klastatudinternetilink">
    <w:name w:val="Külastatud internetilink"/>
    <w:qFormat/>
    <w:rPr>
      <w:color w:val="800080"/>
      <w:u w:val="single"/>
    </w:rPr>
  </w:style>
  <w:style w:type="character" w:styleId="Strong">
    <w:name w:val="Strong"/>
    <w:qFormat/>
    <w:rPr>
      <w:b/>
      <w:bCs/>
    </w:rPr>
  </w:style>
  <w:style w:type="character" w:styleId="Annotationreference">
    <w:name w:val="annotation reference"/>
    <w:semiHidden/>
    <w:qFormat/>
    <w:rsid w:val="0099354e"/>
    <w:rPr>
      <w:sz w:val="16"/>
      <w:szCs w:val="16"/>
    </w:rPr>
  </w:style>
  <w:style w:type="character" w:styleId="Pealkiri2Mrk" w:customStyle="1">
    <w:name w:val="Pealkiri 2 Märk"/>
    <w:link w:val="Pealkiri2"/>
    <w:qFormat/>
    <w:rsid w:val="00f40f6a"/>
    <w:rPr>
      <w:color w:val="000000"/>
      <w:sz w:val="28"/>
      <w:lang w:eastAsia="en-US"/>
    </w:rPr>
  </w:style>
  <w:style w:type="character" w:styleId="KommentaaritekstMrk" w:customStyle="1">
    <w:name w:val="Kommentaari tekst Märk"/>
    <w:link w:val="Kommentaaritekst"/>
    <w:semiHidden/>
    <w:qFormat/>
    <w:rsid w:val="00e90cf4"/>
    <w:rPr>
      <w:lang w:eastAsia="en-US"/>
    </w:rPr>
  </w:style>
  <w:style w:type="character" w:styleId="KommentaariteemaMrk" w:customStyle="1">
    <w:name w:val="Kommentaari teema Märk"/>
    <w:link w:val="Kommentaariteema"/>
    <w:qFormat/>
    <w:rsid w:val="00e90cf4"/>
    <w:rPr>
      <w:b/>
      <w:bCs/>
      <w:lang w:eastAsia="en-US"/>
    </w:rPr>
  </w:style>
  <w:style w:type="character" w:styleId="Bullets" w:customStyle="1">
    <w:name w:val="Bullets"/>
    <w:qFormat/>
    <w:rPr>
      <w:rFonts w:ascii="OpenSymbol" w:hAnsi="OpenSymbol" w:eastAsia="OpenSymbol" w:cs="OpenSymbol"/>
    </w:rPr>
  </w:style>
  <w:style w:type="character" w:styleId="ListLabel1">
    <w:name w:val="ListLabel 1"/>
    <w:qFormat/>
    <w:rPr>
      <w:rFonts w:ascii="Times New Roman" w:hAnsi="Times New Roman"/>
      <w:b/>
      <w:color w:val="00000A"/>
      <w:sz w:val="22"/>
    </w:rPr>
  </w:style>
  <w:style w:type="character" w:styleId="ListLabel2">
    <w:name w:val="ListLabel 2"/>
    <w:qFormat/>
    <w:rPr>
      <w:rFonts w:cs="Symbol"/>
      <w:sz w:val="22"/>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sz w:val="22"/>
      <w:szCs w:val="22"/>
      <w:lang w:val="en-US" w:eastAsia="et-E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tabs>
        <w:tab w:val="left" w:pos="2880" w:leader="none"/>
        <w:tab w:val="left" w:pos="3600" w:leader="none"/>
        <w:tab w:val="left" w:pos="4320" w:leader="none"/>
        <w:tab w:val="left" w:pos="5040" w:leader="none"/>
        <w:tab w:val="left" w:pos="5760" w:leader="none"/>
        <w:tab w:val="left" w:pos="6480" w:leader="none"/>
        <w:tab w:val="right" w:pos="8789" w:leader="none"/>
      </w:tabs>
      <w:suppressAutoHyphens w:val="true"/>
    </w:pPr>
    <w:rPr>
      <w:rFonts w:ascii="Arial" w:hAnsi="Arial"/>
      <w:color w:val="FF0000"/>
      <w:lang w:val="en-GB"/>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ealkiri" w:customStyle="1">
    <w:name w:val="Pealkiri"/>
    <w:basedOn w:val="Normal"/>
    <w:qFormat/>
    <w:pPr>
      <w:keepNext w:val="true"/>
      <w:spacing w:before="240" w:after="120"/>
    </w:pPr>
    <w:rPr>
      <w:rFonts w:ascii="Liberation Sans" w:hAnsi="Liberation Sans" w:eastAsia="Microsoft YaHei" w:cs="Arial"/>
      <w:sz w:val="28"/>
      <w:szCs w:val="28"/>
    </w:rPr>
  </w:style>
  <w:style w:type="paragraph" w:styleId="Register" w:customStyle="1">
    <w:name w:val="Register"/>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Application1" w:customStyle="1">
    <w:name w:val="Application1"/>
    <w:basedOn w:val="Heading1"/>
    <w:qFormat/>
    <w:pPr>
      <w:pageBreakBefore/>
      <w:widowControl w:val="false"/>
      <w:spacing w:before="0" w:after="480"/>
    </w:pPr>
    <w:rPr>
      <w:caps/>
    </w:rPr>
  </w:style>
  <w:style w:type="paragraph" w:styleId="Application2" w:customStyle="1">
    <w:name w:val="Application2"/>
    <w:basedOn w:val="Normal"/>
    <w:autoRedefine/>
    <w:qFormat/>
    <w:rsid w:val="001d4a24"/>
    <w:pPr>
      <w:widowControl w:val="false"/>
      <w:suppressAutoHyphens w:val="true"/>
      <w:spacing w:before="60" w:after="60"/>
    </w:pPr>
    <w:rPr>
      <w:rFonts w:ascii="Arial" w:hAnsi="Arial" w:cs="Arial"/>
      <w:b/>
      <w:color w:val="000000"/>
      <w:spacing w:val="-2"/>
    </w:rPr>
  </w:style>
  <w:style w:type="paragraph" w:styleId="Application4" w:customStyle="1">
    <w:name w:val="Application4"/>
    <w:basedOn w:val="Application3"/>
    <w:autoRedefine/>
    <w:qFormat/>
    <w:pPr>
      <w:tabs>
        <w:tab w:val="left" w:pos="1134" w:leader="none"/>
      </w:tabs>
      <w:ind w:left="1134" w:hanging="0"/>
    </w:pPr>
    <w:rPr>
      <w:sz w:val="20"/>
    </w:rPr>
  </w:style>
  <w:style w:type="paragraph" w:styleId="Application3" w:customStyle="1">
    <w:name w:val="Application3"/>
    <w:basedOn w:val="Normal"/>
    <w:autoRedefine/>
    <w:qFormat/>
    <w:pPr>
      <w:widowControl w:val="false"/>
      <w:tabs>
        <w:tab w:val="right" w:pos="8789" w:leader="none"/>
      </w:tabs>
      <w:suppressAutoHyphens w:val="true"/>
      <w:ind w:left="567" w:hanging="567"/>
    </w:pPr>
    <w:rPr>
      <w:rFonts w:ascii="Arial" w:hAnsi="Arial"/>
      <w:spacing w:val="-2"/>
      <w:sz w:val="22"/>
      <w:lang w:val="en-GB"/>
    </w:rPr>
  </w:style>
  <w:style w:type="paragraph" w:styleId="Title">
    <w:name w:val="Title"/>
    <w:basedOn w:val="Normal"/>
    <w:qFormat/>
    <w:pPr>
      <w:widowControl w:val="false"/>
      <w:tabs>
        <w:tab w:val="left" w:pos="-720" w:leader="none"/>
      </w:tabs>
      <w:suppressAutoHyphens w:val="true"/>
      <w:jc w:val="center"/>
    </w:pPr>
    <w:rPr>
      <w:b/>
      <w:sz w:val="48"/>
      <w:lang w:val="en-US"/>
    </w:rPr>
  </w:style>
  <w:style w:type="paragraph" w:styleId="SubTitle1" w:customStyle="1">
    <w:name w:val="SubTitle 1"/>
    <w:basedOn w:val="Normal"/>
    <w:qFormat/>
    <w:pPr>
      <w:spacing w:before="0" w:after="240"/>
      <w:jc w:val="center"/>
    </w:pPr>
    <w:rPr>
      <w:b/>
      <w:sz w:val="40"/>
      <w:lang w:val="en-GB"/>
    </w:rPr>
  </w:style>
  <w:style w:type="paragraph" w:styleId="BodyText3">
    <w:name w:val="Body Text 3"/>
    <w:basedOn w:val="Normal"/>
    <w:qFormat/>
    <w:pPr>
      <w:tabs>
        <w:tab w:val="left" w:pos="2880" w:leader="none"/>
        <w:tab w:val="left" w:pos="3600" w:leader="none"/>
        <w:tab w:val="left" w:pos="4320" w:leader="none"/>
        <w:tab w:val="left" w:pos="5040" w:leader="none"/>
        <w:tab w:val="left" w:pos="5760" w:leader="none"/>
        <w:tab w:val="left" w:pos="6480" w:leader="none"/>
        <w:tab w:val="right" w:pos="8789" w:leader="none"/>
      </w:tabs>
      <w:suppressAutoHyphens w:val="true"/>
    </w:pPr>
    <w:rPr>
      <w:rFonts w:ascii="Arial" w:hAnsi="Arial"/>
      <w:lang w:val="en-GB"/>
    </w:rPr>
  </w:style>
  <w:style w:type="paragraph" w:styleId="BodyText2">
    <w:name w:val="Body Text 2"/>
    <w:basedOn w:val="Normal"/>
    <w:qFormat/>
    <w:pPr>
      <w:tabs>
        <w:tab w:val="left" w:pos="-720" w:leader="none"/>
      </w:tabs>
      <w:suppressAutoHyphens w:val="true"/>
    </w:pPr>
    <w:rPr>
      <w:rFonts w:ascii="Arial" w:hAnsi="Arial"/>
      <w:sz w:val="22"/>
      <w:lang w:val="en-GB"/>
    </w:rPr>
  </w:style>
  <w:style w:type="paragraph" w:styleId="Footnote">
    <w:name w:val="Footnote Text"/>
    <w:basedOn w:val="Normal"/>
    <w:semiHidden/>
    <w:pPr>
      <w:widowControl w:val="false"/>
      <w:tabs>
        <w:tab w:val="left" w:pos="-720" w:leader="none"/>
      </w:tabs>
      <w:suppressAutoHyphens w:val="true"/>
      <w:jc w:val="both"/>
    </w:pPr>
    <w:rPr>
      <w:spacing w:val="-2"/>
      <w:lang w:val="en-GB"/>
    </w:rPr>
  </w:style>
  <w:style w:type="paragraph" w:styleId="Pisjajalus">
    <w:name w:val="Päis ja jalus"/>
    <w:basedOn w:val="Normal"/>
    <w:qFormat/>
    <w:pPr/>
    <w:rPr/>
  </w:style>
  <w:style w:type="paragraph" w:styleId="Header">
    <w:name w:val="Header"/>
    <w:basedOn w:val="Normal"/>
    <w:pPr>
      <w:widowControl w:val="false"/>
      <w:tabs>
        <w:tab w:val="left" w:pos="0" w:leader="none"/>
      </w:tabs>
      <w:suppressAutoHyphens w:val="true"/>
    </w:pPr>
    <w:rPr>
      <w:rFonts w:ascii="Courier New" w:hAnsi="Courier New"/>
      <w:sz w:val="24"/>
      <w:lang w:val="en-GB"/>
    </w:rPr>
  </w:style>
  <w:style w:type="paragraph" w:styleId="Footer">
    <w:name w:val="Footer"/>
    <w:basedOn w:val="Normal"/>
    <w:pPr>
      <w:widowControl w:val="false"/>
      <w:tabs>
        <w:tab w:val="left" w:pos="-720" w:leader="none"/>
      </w:tabs>
      <w:suppressAutoHyphens w:val="true"/>
    </w:pPr>
    <w:rPr>
      <w:rFonts w:ascii="Arial" w:hAnsi="Arial"/>
      <w:sz w:val="16"/>
      <w:lang w:val="en-GB"/>
    </w:rPr>
  </w:style>
  <w:style w:type="paragraph" w:styleId="BalloonText">
    <w:name w:val="Balloon Text"/>
    <w:basedOn w:val="Normal"/>
    <w:semiHidden/>
    <w:qFormat/>
    <w:rsid w:val="000b622f"/>
    <w:pPr/>
    <w:rPr>
      <w:rFonts w:ascii="Tahoma" w:hAnsi="Tahoma" w:cs="Tahoma"/>
      <w:sz w:val="16"/>
      <w:szCs w:val="16"/>
    </w:rPr>
  </w:style>
  <w:style w:type="paragraph" w:styleId="Annotationtext">
    <w:name w:val="annotation text"/>
    <w:basedOn w:val="Normal"/>
    <w:link w:val="KommentaaritekstMrk"/>
    <w:semiHidden/>
    <w:qFormat/>
    <w:rsid w:val="0099354e"/>
    <w:pPr/>
    <w:rPr>
      <w:lang w:val="x-none"/>
    </w:rPr>
  </w:style>
  <w:style w:type="paragraph" w:styleId="ListParagraph">
    <w:name w:val="List Paragraph"/>
    <w:basedOn w:val="Normal"/>
    <w:uiPriority w:val="34"/>
    <w:qFormat/>
    <w:rsid w:val="00f40f6a"/>
    <w:pPr>
      <w:ind w:left="720" w:hanging="0"/>
    </w:pPr>
    <w:rPr>
      <w:rFonts w:ascii="Calibri" w:hAnsi="Calibri" w:eastAsia="Calibri"/>
      <w:sz w:val="22"/>
      <w:szCs w:val="22"/>
      <w:lang w:val="en-US"/>
    </w:rPr>
  </w:style>
  <w:style w:type="paragraph" w:styleId="Annotationsubject">
    <w:name w:val="annotation subject"/>
    <w:basedOn w:val="Annotationtext"/>
    <w:link w:val="KommentaariteemaMrk"/>
    <w:qFormat/>
    <w:rsid w:val="00e90cf4"/>
    <w:pPr/>
    <w:rPr>
      <w:b/>
      <w:bCs/>
    </w:rPr>
  </w:style>
  <w:style w:type="paragraph" w:styleId="Revision">
    <w:name w:val="Revision"/>
    <w:uiPriority w:val="99"/>
    <w:semiHidden/>
    <w:qFormat/>
    <w:rsid w:val="006b6c95"/>
    <w:pPr>
      <w:widowControl/>
      <w:suppressAutoHyphens w:val="true"/>
      <w:bidi w:val="0"/>
      <w:spacing w:before="0" w:after="0"/>
      <w:jc w:val="left"/>
    </w:pPr>
    <w:rPr>
      <w:rFonts w:ascii="Times New Roman" w:hAnsi="Times New Roman" w:eastAsia="Times New Roman" w:cs="Times New Roman"/>
      <w:color w:val="00000A"/>
      <w:kern w:val="0"/>
      <w:sz w:val="20"/>
      <w:szCs w:val="20"/>
      <w:lang w:val="et-EE" w:eastAsia="en-US" w:bidi="ar-SA"/>
    </w:rPr>
  </w:style>
  <w:style w:type="paragraph" w:styleId="FrameContents" w:customStyle="1">
    <w:name w:val="Frame Contents"/>
    <w:basedOn w:val="Normal"/>
    <w:qFormat/>
    <w:pPr/>
    <w:rPr/>
  </w:style>
  <w:style w:type="paragraph" w:styleId="Tabelisisu" w:customStyle="1">
    <w:name w:val="Tabeli sisu"/>
    <w:basedOn w:val="Normal"/>
    <w:qFormat/>
    <w:pPr>
      <w:suppressLineNumbers/>
    </w:pPr>
    <w:rPr/>
  </w:style>
  <w:style w:type="paragraph" w:styleId="Tabelipis" w:customStyle="1">
    <w:name w:val="Tabeli päis"/>
    <w:basedOn w:val="Tabelisisu"/>
    <w:qFormat/>
    <w:pPr>
      <w:jc w:val="center"/>
    </w:pPr>
    <w:rPr>
      <w:b/>
      <w:bCs/>
    </w:rPr>
  </w:style>
  <w:style w:type="numbering" w:styleId="NoList" w:default="1">
    <w:name w:val="No List"/>
    <w:uiPriority w:val="99"/>
    <w:semiHidden/>
    <w:unhideWhenUsed/>
    <w:qFormat/>
  </w:style>
  <w:style w:type="numbering" w:styleId="Style11" w:customStyle="1">
    <w:name w:val="Style1"/>
    <w:uiPriority w:val="99"/>
    <w:qFormat/>
    <w:rsid w:val="00926094"/>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59"/>
    <w:rsid w:val="00d400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eelk.ee/wp-content/uploads/2018/08/Uhiselt_elamise_kunst-neti-LML-2015.pdf" TargetMode="External"/><Relationship Id="rId4" Type="http://schemas.openxmlformats.org/officeDocument/2006/relationships/hyperlink" Target="https://www.researchgate.net/publication/330935503_Charitable_food_aid_in_Finland_from_a_social_issue_to_an_environmental_solution"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641A-26A1-4231-A9EA-E31688A7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LibreOffice/6.0.3.2$Windows_X86_64 LibreOffice_project/8f48d515416608e3a835360314dac7e47fd0b821</Application>
  <Pages>5</Pages>
  <Words>1497</Words>
  <Characters>11712</Characters>
  <CharactersWithSpaces>13126</CharactersWithSpaces>
  <Paragraphs>117</Paragraphs>
  <Company>AEF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2020-09-10T16:36:00Z</dcterms:created>
  <dc:creator>Agu Laius</dc:creator>
  <dc:description/>
  <dc:language>en-US</dc:language>
  <cp:lastModifiedBy/>
  <cp:lastPrinted>2019-04-02T09:34:00Z</cp:lastPrinted>
  <dcterms:modified xsi:type="dcterms:W3CDTF">2020-09-14T14:46:11Z</dcterms:modified>
  <cp:revision>9</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AEF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